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Linaw PH</w:t>
      </w:r>
    </w:p>
    <w:p>
      <w:pPr>
        <w:spacing w:after="140"/>
        <w:jc w:val="center"/>
      </w:pPr>
      <w:r>
        <w:rPr>
          <w:b/>
          <w:bCs/>
          <w:color w:val="3D4A5C"/>
          <w:sz w:val="46"/>
          <w:szCs w:val="46"/>
        </w:rPr>
        <w:t xml:space="preserve">Codebase Guide</w:t>
      </w:r>
    </w:p>
    <w:p>
      <w:pPr>
        <w:spacing w:after="700"/>
        <w:jc w:val="center"/>
      </w:pPr>
      <w:r>
        <w:rPr>
          <w:i/>
          <w:iCs/>
          <w:color w:val="3D4A5C"/>
          <w:sz w:val="24"/>
          <w:szCs w:val="24"/>
        </w:rPr>
        <w:t xml:space="preserve">How the program is built</w:t>
      </w:r>
    </w:p>
    <w:p>
      <w:pPr>
        <w:spacing w:after="260"/>
        <w:ind w:left="900" w:right="900"/>
        <w:jc w:val="center"/>
      </w:pPr>
      <w:r>
        <w:rPr>
          <w:sz w:val="20"/>
          <w:szCs w:val="20"/>
        </w:rPr>
        <w:t>BEFORE YOU START. This is the most technical document in the pack, and it uses a handful of words the others avoid: API, endpoint, schema, migration, constraint, hashing. Every one of them is defined in plain words in the word list at the end of Linaw-PH-Explained-Simply.docx. Open that beside this, and nothing here should be a mystery. You are not expected to write any of this code. You are expected to be able to say what it does.</w:t>
      </w:r>
    </w:p>
    <w:p>
      <w:pPr>
        <w:spacing w:after="260"/>
        <w:ind w:left="900" w:right="900"/>
        <w:jc w:val="center"/>
      </w:pPr>
      <w:r>
        <w:rPr>
          <w:sz w:val="20"/>
          <w:szCs w:val="20"/>
        </w:rPr>
        <w:t xml:space="preserve">For whoever answers the technical questions. Explains the structure, the flow of a request, the scoring engine, the database and the tests. You do not need to be able to write this code — you need to be able to explain it. About 45 minutes.</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r>
        <w:br w:type="page"/>
      </w:r>
    </w:p>
    <w:p>
      <w:pPr>
        <w:pStyle w:val="Heading1"/>
      </w:pPr>
      <w:r>
        <w:t>Start here if this is new to you</w:t>
      </w:r>
    </w:p>
    <w:p>
      <w:pPr>
        <w:spacing w:after="260"/>
        <w:ind w:left="900" w:right="900"/>
        <w:jc w:val="center"/>
      </w:pPr>
      <w:r>
        <w:rPr>
          <w:sz w:val="20"/>
          <w:szCs w:val="20"/>
        </w:rPr>
        <w:t>This guide explains how the program is built. You do not need to be able to write this code. You need to be able to say what it does and why, which is a much smaller job.</w:t>
      </w:r>
    </w:p>
    <w:p>
      <w:pPr>
        <w:spacing w:after="260"/>
        <w:ind w:left="900" w:right="900"/>
        <w:jc w:val="center"/>
      </w:pPr>
      <w:r>
        <w:rPr>
          <w:sz w:val="20"/>
          <w:szCs w:val="20"/>
        </w:rPr>
        <w:t>If you have not read Linaw-PH-Explained-Simply.docx, read that first — this one assumes you already know what the site does and what the score means. Its word list at the back covers everything technical you will meet here.</w:t>
      </w:r>
    </w:p>
    <w:p>
      <w:pPr>
        <w:spacing w:after="260"/>
        <w:ind w:left="900" w:right="900"/>
        <w:jc w:val="center"/>
      </w:pPr>
      <w:r>
        <w:rPr>
          <w:sz w:val="20"/>
          <w:szCs w:val="20"/>
        </w:rPr>
        <w:t>The three sentences that carry most of this document: the scoring engine is a plain formula with no model in it; the same formula is written twice, once for the server and once for the browser, and a test proves the two agree; and every rule that matters is enforced by the database as well as by the code, so a bug cannot write a row that breaks it.</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it is built with</w:t>
      </w:r>
    </w:p>
    <w:tbl>
      <w:tblPr>
        <w:tblW w:type="dxa" w:w="9360"/>
        <w:tblBorders>
          <w:top w:val="single" w:color="C9CDD4" w:sz="2"/>
          <w:left w:val="none"/>
          <w:bottom w:val="single" w:color="C9CDD4" w:sz="2"/>
          <w:right w:val="none"/>
          <w:insideH w:val="single" w:color="C9CDD4" w:sz="1"/>
          <w:insideV w:val="none"/>
        </w:tblBorders>
      </w:tblPr>
      <w:tblGrid>
        <w:gridCol w:w="1700"/>
        <w:gridCol w:w="3200"/>
        <w:gridCol w:w="4460"/>
      </w:tblGrid>
      <w:tr>
        <w:trPr>
          <w:tblHeader/>
        </w:trPr>
        <w:tc>
          <w:tcPr>
            <w:tcW w:type="dxa" w:w="1700"/>
            <w:shd w:fill="F4F1EA" w:val="clear"/>
            <w:tcMar>
              <w:top w:type="dxa" w:w="90"/>
              <w:left w:type="dxa" w:w="130"/>
              <w:bottom w:type="dxa" w:w="90"/>
              <w:right w:type="dxa" w:w="130"/>
            </w:tcMar>
          </w:tcPr>
          <w:p>
            <w:r>
              <w:rPr>
                <w:b/>
                <w:bCs/>
                <w:sz w:val="19"/>
                <w:szCs w:val="19"/>
              </w:rPr>
              <w:t xml:space="preserve">Part</w:t>
            </w:r>
          </w:p>
        </w:tc>
        <w:tc>
          <w:tcPr>
            <w:tcW w:type="dxa" w:w="3200"/>
            <w:shd w:fill="F4F1EA" w:val="clear"/>
            <w:tcMar>
              <w:top w:type="dxa" w:w="90"/>
              <w:left w:type="dxa" w:w="130"/>
              <w:bottom w:type="dxa" w:w="90"/>
              <w:right w:type="dxa" w:w="130"/>
            </w:tcMar>
          </w:tcPr>
          <w:p>
            <w:r>
              <w:rPr>
                <w:b/>
                <w:bCs/>
                <w:sz w:val="19"/>
                <w:szCs w:val="19"/>
              </w:rPr>
              <w:t xml:space="preserve">Technology</w:t>
            </w:r>
          </w:p>
        </w:tc>
        <w:tc>
          <w:tcPr>
            <w:tcW w:type="dxa" w:w="4460"/>
            <w:shd w:fill="F4F1EA" w:val="clear"/>
            <w:tcMar>
              <w:top w:type="dxa" w:w="90"/>
              <w:left w:type="dxa" w:w="130"/>
              <w:bottom w:type="dxa" w:w="90"/>
              <w:right w:type="dxa" w:w="130"/>
            </w:tcMar>
          </w:tcPr>
          <w:p>
            <w:r>
              <w:rPr>
                <w:b/>
                <w:bCs/>
                <w:sz w:val="19"/>
                <w:szCs w:val="19"/>
              </w:rPr>
              <w:t xml:space="preserve">What it does</w:t>
            </w:r>
          </w:p>
        </w:tc>
      </w:tr>
      <w:tr>
        <w:tc>
          <w:tcPr>
            <w:tcW w:type="dxa" w:w="1700"/>
            <w:tcMar>
              <w:top w:type="dxa" w:w="90"/>
              <w:left w:type="dxa" w:w="130"/>
              <w:bottom w:type="dxa" w:w="90"/>
              <w:right w:type="dxa" w:w="130"/>
            </w:tcMar>
          </w:tcPr>
          <w:p>
            <w:r>
              <w:rPr>
                <w:sz w:val="19"/>
                <w:szCs w:val="19"/>
              </w:rPr>
              <w:t xml:space="preserve">Front end</w:t>
            </w:r>
          </w:p>
        </w:tc>
        <w:tc>
          <w:tcPr>
            <w:tcW w:type="dxa" w:w="3200"/>
            <w:tcMar>
              <w:top w:type="dxa" w:w="90"/>
              <w:left w:type="dxa" w:w="130"/>
              <w:bottom w:type="dxa" w:w="90"/>
              <w:right w:type="dxa" w:w="130"/>
            </w:tcMar>
          </w:tcPr>
          <w:p>
            <w:r>
              <w:rPr>
                <w:sz w:val="19"/>
                <w:szCs w:val="19"/>
              </w:rPr>
              <w:t xml:space="preserve">Angular (TypeScript)</w:t>
            </w:r>
          </w:p>
        </w:tc>
        <w:tc>
          <w:tcPr>
            <w:tcW w:type="dxa" w:w="4460"/>
            <w:tcMar>
              <w:top w:type="dxa" w:w="90"/>
              <w:left w:type="dxa" w:w="130"/>
              <w:bottom w:type="dxa" w:w="90"/>
              <w:right w:type="dxa" w:w="130"/>
            </w:tcMar>
          </w:tcPr>
          <w:p>
            <w:r>
              <w:rPr>
                <w:sz w:val="19"/>
                <w:szCs w:val="19"/>
              </w:rPr>
              <w:t xml:space="preserve">Everything the user sees and clicks</w:t>
            </w:r>
          </w:p>
        </w:tc>
      </w:tr>
      <w:tr>
        <w:tc>
          <w:tcPr>
            <w:tcW w:type="dxa" w:w="1700"/>
            <w:tcMar>
              <w:top w:type="dxa" w:w="90"/>
              <w:left w:type="dxa" w:w="130"/>
              <w:bottom w:type="dxa" w:w="90"/>
              <w:right w:type="dxa" w:w="130"/>
            </w:tcMar>
          </w:tcPr>
          <w:p>
            <w:r>
              <w:rPr>
                <w:sz w:val="19"/>
                <w:szCs w:val="19"/>
              </w:rPr>
              <w:t xml:space="preserve">Back end</w:t>
            </w:r>
          </w:p>
        </w:tc>
        <w:tc>
          <w:tcPr>
            <w:tcW w:type="dxa" w:w="3200"/>
            <w:tcMar>
              <w:top w:type="dxa" w:w="90"/>
              <w:left w:type="dxa" w:w="130"/>
              <w:bottom w:type="dxa" w:w="90"/>
              <w:right w:type="dxa" w:w="130"/>
            </w:tcMar>
          </w:tcPr>
          <w:p>
            <w:r>
              <w:rPr>
                <w:sz w:val="19"/>
                <w:szCs w:val="19"/>
              </w:rPr>
              <w:t xml:space="preserve">Node.js + Express (TypeScript)</w:t>
            </w:r>
          </w:p>
        </w:tc>
        <w:tc>
          <w:tcPr>
            <w:tcW w:type="dxa" w:w="4460"/>
            <w:tcMar>
              <w:top w:type="dxa" w:w="90"/>
              <w:left w:type="dxa" w:w="130"/>
              <w:bottom w:type="dxa" w:w="90"/>
              <w:right w:type="dxa" w:w="130"/>
            </w:tcMar>
          </w:tcPr>
          <w:p>
            <w:r>
              <w:rPr>
                <w:sz w:val="19"/>
                <w:szCs w:val="19"/>
              </w:rPr>
              <w:t xml:space="preserve">Authentication, scoring, database access</w:t>
            </w:r>
          </w:p>
        </w:tc>
      </w:tr>
      <w:tr>
        <w:tc>
          <w:tcPr>
            <w:tcW w:type="dxa" w:w="1700"/>
            <w:tcMar>
              <w:top w:type="dxa" w:w="90"/>
              <w:left w:type="dxa" w:w="130"/>
              <w:bottom w:type="dxa" w:w="90"/>
              <w:right w:type="dxa" w:w="130"/>
            </w:tcMar>
          </w:tcPr>
          <w:p>
            <w:r>
              <w:rPr>
                <w:sz w:val="19"/>
                <w:szCs w:val="19"/>
              </w:rPr>
              <w:t xml:space="preserve">Database</w:t>
            </w:r>
          </w:p>
        </w:tc>
        <w:tc>
          <w:tcPr>
            <w:tcW w:type="dxa" w:w="3200"/>
            <w:tcMar>
              <w:top w:type="dxa" w:w="90"/>
              <w:left w:type="dxa" w:w="130"/>
              <w:bottom w:type="dxa" w:w="90"/>
              <w:right w:type="dxa" w:w="130"/>
            </w:tcMar>
          </w:tcPr>
          <w:p>
            <w:r>
              <w:rPr>
                <w:sz w:val="19"/>
                <w:szCs w:val="19"/>
              </w:rPr>
              <w:t xml:space="preserve">PostgreSQL (hosted on Supabase)</w:t>
            </w:r>
          </w:p>
        </w:tc>
        <w:tc>
          <w:tcPr>
            <w:tcW w:type="dxa" w:w="4460"/>
            <w:tcMar>
              <w:top w:type="dxa" w:w="90"/>
              <w:left w:type="dxa" w:w="130"/>
              <w:bottom w:type="dxa" w:w="90"/>
              <w:right w:type="dxa" w:w="130"/>
            </w:tcMar>
          </w:tcPr>
          <w:p>
            <w:r>
              <w:rPr>
                <w:sz w:val="19"/>
                <w:szCs w:val="19"/>
              </w:rPr>
              <w:t xml:space="preserve">All persistent data</w:t>
            </w:r>
          </w:p>
        </w:tc>
      </w:tr>
      <w:tr>
        <w:tc>
          <w:tcPr>
            <w:tcW w:type="dxa" w:w="1700"/>
            <w:tcMar>
              <w:top w:type="dxa" w:w="90"/>
              <w:left w:type="dxa" w:w="130"/>
              <w:bottom w:type="dxa" w:w="90"/>
              <w:right w:type="dxa" w:w="130"/>
            </w:tcMar>
          </w:tcPr>
          <w:p>
            <w:r>
              <w:rPr>
                <w:sz w:val="19"/>
                <w:szCs w:val="19"/>
              </w:rPr>
              <w:t xml:space="preserve">AI reader</w:t>
            </w:r>
          </w:p>
        </w:tc>
        <w:tc>
          <w:tcPr>
            <w:tcW w:type="dxa" w:w="3200"/>
            <w:tcMar>
              <w:top w:type="dxa" w:w="90"/>
              <w:left w:type="dxa" w:w="130"/>
              <w:bottom w:type="dxa" w:w="90"/>
              <w:right w:type="dxa" w:w="130"/>
            </w:tcMar>
          </w:tcPr>
          <w:p>
            <w:r>
              <w:rPr>
                <w:sz w:val="19"/>
                <w:szCs w:val="19"/>
              </w:rPr>
              <w:t xml:space="preserve">Google Gemini API (optional)</w:t>
            </w:r>
          </w:p>
        </w:tc>
        <w:tc>
          <w:tcPr>
            <w:tcW w:type="dxa" w:w="4460"/>
            <w:tcMar>
              <w:top w:type="dxa" w:w="90"/>
              <w:left w:type="dxa" w:w="130"/>
              <w:bottom w:type="dxa" w:w="90"/>
              <w:right w:type="dxa" w:w="130"/>
            </w:tcMar>
          </w:tcPr>
          <w:p>
            <w:r>
              <w:rPr>
                <w:sz w:val="19"/>
                <w:szCs w:val="19"/>
              </w:rPr>
              <w:t xml:space="preserve">Reads uploaded documents into fields</w:t>
            </w:r>
          </w:p>
        </w:tc>
      </w:tr>
    </w:tbl>
    <w:p>
      <w:r>
        <w:t>A correction worth making early: this is not a PHP/MySQL/XAMPP project. An earlier PHP prototype was removed from the repository once the rebuild was finished; it survives in the git history only. The system being defended lives in 05_Website_Angular.</w:t>
      </w:r>
    </w:p>
    <w:p>
      <w:pPr>
        <w:pStyle w:val="Heading2"/>
      </w:pPr>
      <w:r>
        <w:t xml:space="preserve">The folders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05_Website_Angular/</w:t>
            </w:r>
          </w:p>
          <w:p>
            <w:pPr>
              <w:spacing w:after="20" w:line="260"/>
            </w:pPr>
            <w:r>
              <w:rPr>
                <w:rFonts w:ascii="Consolas" w:cs="Consolas" w:eastAsia="Consolas" w:hAnsi="Consolas"/>
                <w:sz w:val="18"/>
                <w:szCs w:val="18"/>
              </w:rPr>
              <w:t xml:space="preserve">  client/          Angular front end</w:t>
            </w:r>
          </w:p>
          <w:p>
            <w:pPr>
              <w:spacing w:after="20" w:line="260"/>
            </w:pPr>
            <w:r>
              <w:rPr>
                <w:rFonts w:ascii="Consolas" w:cs="Consolas" w:eastAsia="Consolas" w:hAnsi="Consolas"/>
                <w:sz w:val="18"/>
                <w:szCs w:val="18"/>
              </w:rPr>
              <w:t xml:space="preserve">    src/app/pages/     one folder per screen (18 of them)</w:t>
            </w:r>
          </w:p>
          <w:p>
            <w:pPr>
              <w:spacing w:after="20" w:line="260"/>
            </w:pPr>
            <w:r>
              <w:rPr>
                <w:rFonts w:ascii="Consolas" w:cs="Consolas" w:eastAsia="Consolas" w:hAnsi="Consolas"/>
                <w:sz w:val="18"/>
                <w:szCs w:val="18"/>
              </w:rPr>
              <w:t xml:space="preserve">    src/app/core/      shared logic — models, API service, engine</w:t>
            </w:r>
          </w:p>
          <w:p>
            <w:pPr>
              <w:spacing w:after="20" w:line="260"/>
            </w:pPr>
            <w:r>
              <w:rPr>
                <w:rFonts w:ascii="Consolas" w:cs="Consolas" w:eastAsia="Consolas" w:hAnsi="Consolas"/>
                <w:sz w:val="18"/>
                <w:szCs w:val="18"/>
              </w:rPr>
              <w:t xml:space="preserve">    src/environments/  demo vs API mode switch</w:t>
            </w:r>
          </w:p>
          <w:p>
            <w:pPr>
              <w:spacing w:after="20" w:line="260"/>
            </w:pPr>
            <w:r>
              <w:rPr>
                <w:rFonts w:ascii="Consolas" w:cs="Consolas" w:eastAsia="Consolas" w:hAnsi="Consolas"/>
                <w:sz w:val="18"/>
                <w:szCs w:val="18"/>
              </w:rPr>
              <w:t xml:space="preserve">  server/          Node/Express back end</w:t>
            </w:r>
          </w:p>
          <w:p>
            <w:pPr>
              <w:spacing w:after="20" w:line="260"/>
            </w:pPr>
            <w:r>
              <w:rPr>
                <w:rFonts w:ascii="Consolas" w:cs="Consolas" w:eastAsia="Consolas" w:hAnsi="Consolas"/>
                <w:sz w:val="18"/>
                <w:szCs w:val="18"/>
              </w:rPr>
              <w:t xml:space="preserve">    src/routes/        one file per group of endpoints (12)</w:t>
            </w:r>
          </w:p>
          <w:p>
            <w:pPr>
              <w:spacing w:after="20" w:line="260"/>
            </w:pPr>
            <w:r>
              <w:rPr>
                <w:rFonts w:ascii="Consolas" w:cs="Consolas" w:eastAsia="Consolas" w:hAnsi="Consolas"/>
                <w:sz w:val="18"/>
                <w:szCs w:val="18"/>
              </w:rPr>
              <w:t xml:space="preserve">    src/lib/           engine, readers, auth, mail</w:t>
            </w:r>
          </w:p>
          <w:p>
            <w:pPr>
              <w:spacing w:after="20" w:line="260"/>
            </w:pPr>
            <w:r>
              <w:rPr>
                <w:rFonts w:ascii="Consolas" w:cs="Consolas" w:eastAsia="Consolas" w:hAnsi="Consolas"/>
                <w:sz w:val="18"/>
                <w:szCs w:val="18"/>
              </w:rPr>
              <w:t xml:space="preserve">    tests/             6 suites, 222 tests</w:t>
            </w:r>
          </w:p>
          <w:p>
            <w:pPr>
              <w:spacing w:after="20" w:line="260"/>
            </w:pPr>
            <w:r>
              <w:rPr>
                <w:rFonts w:ascii="Consolas" w:cs="Consolas" w:eastAsia="Consolas" w:hAnsi="Consolas"/>
                <w:sz w:val="18"/>
                <w:szCs w:val="18"/>
              </w:rPr>
              <w:t xml:space="preserve">  db/</w:t>
            </w:r>
          </w:p>
          <w:p>
            <w:pPr>
              <w:spacing w:after="20" w:line="260"/>
            </w:pPr>
            <w:r>
              <w:rPr>
                <w:rFonts w:ascii="Consolas" w:cs="Consolas" w:eastAsia="Consolas" w:hAnsi="Consolas"/>
                <w:sz w:val="18"/>
                <w:szCs w:val="18"/>
              </w:rPr>
              <w:t xml:space="preserve">    linaw_ph.sql   the entire schema and seed data, one file</w:t>
            </w:r>
          </w:p>
        </w:tc>
      </w:tr>
    </w:tbl>
    <w:p>
      <w:r>
        <w:br w:type="page"/>
      </w:r>
    </w:p>
    <w:p>
      <w:pPr>
        <w:pStyle w:val="Heading1"/>
      </w:pPr>
      <w:r>
        <w:t xml:space="preserve">2 · The two-adapter design</w:t>
      </w:r>
    </w:p>
    <w:p>
      <w:r>
        <w:t xml:space="preserve">This is the single most important idea in the front end, and it explains why the same build can run with or without a server.</w:t>
      </w:r>
    </w:p>
    <w:p>
      <w:r>
        <w:t xml:space="preserve">Every screen talks to one service. That service does not know where data comes from — it delegates to an adapter chosen at startup:</w:t>
      </w:r>
    </w:p>
    <w:p>
      <w:pPr>
        <w:pStyle w:val="ListParagraph"/>
        <w:numPr>
          <w:ilvl w:val="0"/>
          <w:numId w:val="2"/>
        </w:numPr>
        <w:spacing w:after="70"/>
      </w:pPr>
      <w:r>
        <w:rPr>
          <w:b/>
          <w:bCs/>
        </w:rPr>
        <w:t xml:space="preserve">The demo adapter</w:t>
      </w:r>
      <w:r>
        <w:t xml:space="preserve"> reads and writes the browser's own storage. No server, no database, no network.</w:t>
      </w:r>
    </w:p>
    <w:p>
      <w:pPr>
        <w:pStyle w:val="ListParagraph"/>
        <w:numPr>
          <w:ilvl w:val="0"/>
          <w:numId w:val="2"/>
        </w:numPr>
        <w:spacing w:after="70"/>
      </w:pPr>
      <w:r>
        <w:rPr>
          <w:b/>
          <w:bCs/>
        </w:rPr>
        <w:t xml:space="preserve">The HTTP adapter</w:t>
      </w:r>
      <w:r>
        <w:t xml:space="preserve"> calls the real API over the network.</w:t>
      </w:r>
    </w:p>
    <w:p>
      <w:r>
        <w:t xml:space="preserve">Both implement the same contract, so no page contains an "if we are in demo mode" branch. Swapping one line of configuration swaps the entire data layer.</w:t>
      </w:r>
    </w:p>
    <w:p>
      <w:r>
        <w:t xml:space="preserve">The benefit for the study is concrete: the public demo can be shown to anyone with no server running and no risk to real data, while the identical interface runs against the real database for actual use.</w:t>
      </w:r>
    </w:p>
    <w:p>
      <w:r>
        <w:t xml:space="preserve">A test suite exists specifically to prove the two adapters behave the same, so the demo cannot quietly drift away from the real system.</w:t>
      </w:r>
    </w:p>
    <w:p>
      <w:r>
        <w:br w:type="page"/>
      </w:r>
    </w:p>
    <w:p>
      <w:pPr>
        <w:pStyle w:val="Heading1"/>
      </w:pPr>
      <w:r>
        <w:t xml:space="preserve">3 · Following one request end to end</w:t>
      </w:r>
    </w:p>
    <w:p>
      <w:r>
        <w:t xml:space="preserve">A seeker presses Apply. Here is everything that happens.</w:t>
      </w:r>
    </w:p>
    <w:p>
      <w:pPr>
        <w:pStyle w:val="Heading3"/>
      </w:pPr>
      <w:r>
        <w:t xml:space="preserve">1 · The browser</w:t>
      </w:r>
    </w:p>
    <w:p>
      <w:r>
        <w:t xml:space="preserve">The page calls the API service with the resume and posting identifiers. The service delegates to the HTTP adapter, which sends a request to the server.</w:t>
      </w:r>
    </w:p>
    <w:p>
      <w:pPr>
        <w:pStyle w:val="Heading3"/>
      </w:pPr>
      <w:r>
        <w:t xml:space="preserve">2 · The server checks who is asking</w:t>
      </w:r>
    </w:p>
    <w:p>
      <w:r>
        <w:t xml:space="preserve">The route first requires a signed-in seeker. Sessions are cookie-based and stored in the database, so a restarted server does not log everyone out.</w:t>
      </w:r>
    </w:p>
    <w:p>
      <w:pPr>
        <w:pStyle w:val="Heading3"/>
      </w:pPr>
      <w:r>
        <w:t xml:space="preserve">3 · The server checks the request makes sense</w:t>
      </w:r>
    </w:p>
    <w:p>
      <w:r>
        <w:t xml:space="preserve">Four checks, each with its own message: the resume must belong to this user; the posting must exist; it must be open; and its deadline must not have passed. Then it checks whether this person already applied.</w:t>
      </w:r>
    </w:p>
    <w:p>
      <w:pPr>
        <w:pStyle w:val="Heading3"/>
      </w:pPr>
      <w:r>
        <w:t xml:space="preserve">4 · The score is computed and frozen</w:t>
      </w:r>
    </w:p>
    <w:p>
      <w:r>
        <w:t>The engine scores the resume against the posting right now, and that number is stored on the application row as score_snapshot. It is a snapshot, not a live value — and the recruiter’s ranked list sorts on it, so editing a resume after applying cannot move anybody up a shortlist that has already been worked.</w:t>
      </w:r>
    </w:p>
    <w:p>
      <w:r>
        <w:t>The live score is still computed when that list is drawn, but only to report the difference: the row carries liveScore and a scoreDrifted flag, and the screen labels the change. An API test applies, edits the resume to match every required skill, and asserts the ranked score has not moved while the live one has. Reverting the one line that reads the snapshot makes that test fail, which is how we know it guards the behaviour rather than merely describing it.</w:t>
      </w:r>
    </w:p>
    <w:p>
      <w:pPr>
        <w:pStyle w:val="Heading3"/>
      </w:pPr>
      <w:r>
        <w:t xml:space="preserve">5 · Two rows are written as one unit</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BEGIN</w:t>
            </w:r>
          </w:p>
          <w:p>
            <w:pPr>
              <w:spacing w:after="20" w:line="260"/>
            </w:pPr>
            <w:r>
              <w:rPr>
                <w:rFonts w:ascii="Consolas" w:cs="Consolas" w:eastAsia="Consolas" w:hAnsi="Consolas"/>
                <w:sz w:val="18"/>
                <w:szCs w:val="18"/>
              </w:rPr>
              <w:t xml:space="preserve">  INSERT INTO applications (seeker_id, resume_id, posting_id,</w:t>
            </w:r>
          </w:p>
          <w:p>
            <w:pPr>
              <w:spacing w:after="20" w:line="260"/>
            </w:pPr>
            <w:r>
              <w:rPr>
                <w:rFonts w:ascii="Consolas" w:cs="Consolas" w:eastAsia="Consolas" w:hAnsi="Consolas"/>
                <w:sz w:val="18"/>
                <w:szCs w:val="18"/>
              </w:rPr>
              <w:t xml:space="preserve">                            status, score_snapshot)</w:t>
            </w:r>
          </w:p>
          <w:p>
            <w:pPr>
              <w:spacing w:after="20" w:line="260"/>
            </w:pPr>
            <w:r>
              <w:rPr>
                <w:rFonts w:ascii="Consolas" w:cs="Consolas" w:eastAsia="Consolas" w:hAnsi="Consolas"/>
                <w:sz w:val="18"/>
                <w:szCs w:val="18"/>
              </w:rPr>
              <w:t xml:space="preserve">  VALUES (?, ?, ?, 'submitted', ?)</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  INSERT INTO application_status_history</w:t>
            </w:r>
          </w:p>
          <w:p>
            <w:pPr>
              <w:spacing w:after="20" w:line="260"/>
            </w:pPr>
            <w:r>
              <w:rPr>
                <w:rFonts w:ascii="Consolas" w:cs="Consolas" w:eastAsia="Consolas" w:hAnsi="Consolas"/>
                <w:sz w:val="18"/>
                <w:szCs w:val="18"/>
              </w:rPr>
              <w:t xml:space="preserve">         (application_id, old_status, new_status, changed_by)</w:t>
            </w:r>
          </w:p>
          <w:p>
            <w:pPr>
              <w:spacing w:after="20" w:line="260"/>
            </w:pPr>
            <w:r>
              <w:rPr>
                <w:rFonts w:ascii="Consolas" w:cs="Consolas" w:eastAsia="Consolas" w:hAnsi="Consolas"/>
                <w:sz w:val="18"/>
                <w:szCs w:val="18"/>
              </w:rPr>
              <w:t xml:space="preserve">  VALUES (?, NULL, 'submitted', ?)</w:t>
            </w:r>
          </w:p>
          <w:p>
            <w:pPr>
              <w:spacing w:after="20" w:line="260"/>
            </w:pPr>
            <w:r>
              <w:rPr>
                <w:rFonts w:ascii="Consolas" w:cs="Consolas" w:eastAsia="Consolas" w:hAnsi="Consolas"/>
                <w:sz w:val="18"/>
                <w:szCs w:val="18"/>
              </w:rPr>
              <w:t xml:space="preserve">COMMIT</w:t>
            </w:r>
          </w:p>
        </w:tc>
      </w:tr>
    </w:tbl>
    <w:p>
      <w:r>
        <w:t xml:space="preserve">If either fails, neither is kept. This is what guarantees no application exists without a history entry naming the person who created it.</w:t>
      </w:r>
    </w:p>
    <w:p>
      <w:pPr>
        <w:pStyle w:val="Heading3"/>
      </w:pPr>
      <w:r>
        <w:t xml:space="preserve">6 · A duplicate is caught twice</w:t>
      </w:r>
    </w:p>
    <w:p>
      <w:r>
        <w:t xml:space="preserve">A check before the insert catches the ordinary case with a friendly message. A uniqueness constraint in the database catches the real case — two clicks arriving at the same instant — and the code turns that specific database error into the same friendly message.</w:t>
      </w:r>
    </w:p>
    <w:p>
      <w:pPr>
        <w:pStyle w:val="Heading3"/>
      </w:pPr>
      <w:r>
        <w:t xml:space="preserve">7 · The recruiter is notified</w:t>
      </w:r>
    </w:p>
    <w:p>
      <w:r>
        <w:t xml:space="preserve">An email goes out, routed by department where one has an owner. It is fire-and-forget: a mail failure must never fail an application.</w:t>
      </w:r>
    </w:p>
    <w:p>
      <w:r>
        <w:br w:type="page"/>
      </w:r>
    </w:p>
    <w:p>
      <w:pPr>
        <w:pStyle w:val="Heading1"/>
      </w:pPr>
      <w:r>
        <w:t xml:space="preserve">4 · The scoring engine</w:t>
      </w:r>
    </w:p>
    <w:p>
      <w:r>
        <w:t xml:space="preserve">The engine is a pure function: same inputs, same output, no database, no network, no clock. That is what makes it testable and what makes the study reproducible.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export function scoreWith(cfg, resume, posting) {</w:t>
            </w:r>
          </w:p>
          <w:p>
            <w:pPr>
              <w:spacing w:after="20" w:line="260"/>
            </w:pPr>
            <w:r>
              <w:rPr>
                <w:rFonts w:ascii="Consolas" w:cs="Consolas" w:eastAsia="Consolas" w:hAnsi="Consolas"/>
                <w:sz w:val="18"/>
                <w:szCs w:val="18"/>
              </w:rPr>
              <w:t xml:space="preserve">  const W = weightsFor(cfg, posting);</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const have = new Set(resume.skills.map(skillNorm));</w:t>
            </w:r>
          </w:p>
          <w:p>
            <w:pPr>
              <w:spacing w:after="20" w:line="260"/>
            </w:pPr>
            <w:r>
              <w:rPr>
                <w:rFonts w:ascii="Consolas" w:cs="Consolas" w:eastAsia="Consolas" w:hAnsi="Consolas"/>
                <w:sz w:val="18"/>
                <w:szCs w:val="18"/>
              </w:rPr>
              <w:t xml:space="preserve">  for (const s of posting.skills)</w:t>
            </w:r>
          </w:p>
          <w:p>
            <w:pPr>
              <w:spacing w:after="20" w:line="260"/>
            </w:pPr>
            <w:r>
              <w:rPr>
                <w:rFonts w:ascii="Consolas" w:cs="Consolas" w:eastAsia="Consolas" w:hAnsi="Consolas"/>
                <w:sz w:val="18"/>
                <w:szCs w:val="18"/>
              </w:rPr>
              <w:t xml:space="preserve">    (have.has(skillNorm(s)) ? matched : missing).push(s);</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 a matched skill the applicant named no source for counts half</w:t>
            </w:r>
          </w:p>
          <w:p>
            <w:pPr>
              <w:spacing w:after="20" w:line="260"/>
            </w:pPr>
            <w:r>
              <w:rPr>
                <w:rFonts w:ascii="Consolas" w:cs="Consolas" w:eastAsia="Consolas" w:hAnsi="Consolas"/>
                <w:sz w:val="18"/>
                <w:szCs w:val="18"/>
              </w:rPr>
              <w:t xml:space="preserve">  const ev = resume.skillEvidence;            // absent = never asked</w:t>
            </w:r>
          </w:p>
          <w:p>
            <w:pPr>
              <w:spacing w:after="20" w:line="260"/>
            </w:pPr>
            <w:r>
              <w:rPr>
                <w:rFonts w:ascii="Consolas" w:cs="Consolas" w:eastAsia="Consolas" w:hAnsi="Consolas"/>
                <w:sz w:val="18"/>
                <w:szCs w:val="18"/>
              </w:rPr>
              <w:t xml:space="preserve">  const unevidenced = ev ? matched.filter((s) =&gt; !sourced(ev, s)) : [];</w:t>
            </w:r>
          </w:p>
          <w:p>
            <w:pPr>
              <w:spacing w:after="20" w:line="260"/>
            </w:pPr>
            <w:r>
              <w:rPr>
                <w:rFonts w:ascii="Consolas" w:cs="Consolas" w:eastAsia="Consolas" w:hAnsi="Consolas"/>
                <w:sz w:val="18"/>
                <w:szCs w:val="18"/>
              </w:rPr>
              <w:t xml:space="preserve">  const credited = matched.length - unevidenced.length * (1 - UNEVIDENCED_CREDIT);</w:t>
            </w:r>
          </w:p>
          <w:p>
            <w:pPr>
              <w:spacing w:after="20" w:line="260"/>
            </w:pPr>
            <w:r>
              <w:rPr>
                <w:rFonts w:ascii="Consolas" w:cs="Consolas" w:eastAsia="Consolas" w:hAnsi="Consolas"/>
                <w:sz w:val="18"/>
                <w:szCs w:val="18"/>
              </w:rPr>
              <w:t xml:space="preserve">  const skillPart = required.length ? credited / required.length : 1.0;</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let seekerEdu = 0;</w:t>
            </w:r>
          </w:p>
          <w:p>
            <w:pPr>
              <w:spacing w:after="20" w:line="260"/>
            </w:pPr>
            <w:r>
              <w:rPr>
                <w:rFonts w:ascii="Consolas" w:cs="Consolas" w:eastAsia="Consolas" w:hAnsi="Consolas"/>
                <w:sz w:val="18"/>
                <w:szCs w:val="18"/>
              </w:rPr>
              <w:t xml:space="preserve">  for (const e of resume.education)</w:t>
            </w:r>
          </w:p>
          <w:p>
            <w:pPr>
              <w:spacing w:after="20" w:line="260"/>
            </w:pPr>
            <w:r>
              <w:rPr>
                <w:rFonts w:ascii="Consolas" w:cs="Consolas" w:eastAsia="Consolas" w:hAnsi="Consolas"/>
                <w:sz w:val="18"/>
                <w:szCs w:val="18"/>
              </w:rPr>
              <w:t xml:space="preserve">    seekerEdu = Math.max(seekerEdu, EDU_RANK[e.level] ?? 0);</w:t>
            </w:r>
          </w:p>
          <w:p>
            <w:pPr>
              <w:spacing w:after="20" w:line="260"/>
            </w:pPr>
            <w:r>
              <w:rPr>
                <w:rFonts w:ascii="Consolas" w:cs="Consolas" w:eastAsia="Consolas" w:hAnsi="Consolas"/>
                <w:sz w:val="18"/>
                <w:szCs w:val="18"/>
              </w:rPr>
              <w:t xml:space="preserve">  const eduPart = reqEdu === 0 ? 1.0 : Math.min(1.0, seekerEdu / reqEdu);</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let months = 0;</w:t>
            </w:r>
          </w:p>
          <w:p>
            <w:pPr>
              <w:spacing w:after="20" w:line="260"/>
            </w:pPr>
            <w:r>
              <w:rPr>
                <w:rFonts w:ascii="Consolas" w:cs="Consolas" w:eastAsia="Consolas" w:hAnsi="Consolas"/>
                <w:sz w:val="18"/>
                <w:szCs w:val="18"/>
              </w:rPr>
              <w:t xml:space="preserve">  for (const e of resume.experience) months += Number(e.months) || 0;</w:t>
            </w:r>
          </w:p>
          <w:p>
            <w:pPr>
              <w:spacing w:after="20" w:line="260"/>
            </w:pPr>
            <w:r>
              <w:rPr>
                <w:rFonts w:ascii="Consolas" w:cs="Consolas" w:eastAsia="Consolas" w:hAnsi="Consolas"/>
                <w:sz w:val="18"/>
                <w:szCs w:val="18"/>
              </w:rPr>
              <w:t xml:space="preserve">  const expPart = reqMonths &lt;= 0 ? 1.0 : Math.min(1.0, months / reqMonths);</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xml:space="preserve">  const raw   = (skillPart * W.skills + eduPart * W.education</w:t>
            </w:r>
          </w:p>
          <w:p>
            <w:pPr>
              <w:spacing w:after="20" w:line="260"/>
            </w:pPr>
            <w:r>
              <w:rPr>
                <w:rFonts w:ascii="Consolas" w:cs="Consolas" w:eastAsia="Consolas" w:hAnsi="Consolas"/>
                <w:sz w:val="18"/>
                <w:szCs w:val="18"/>
              </w:rPr>
              <w:t xml:space="preserve">                 + expPart * W.experience) * 100;</w:t>
            </w:r>
          </w:p>
          <w:p>
            <w:pPr>
              <w:spacing w:after="20" w:line="260"/>
            </w:pPr>
            <w:r>
              <w:rPr>
                <w:rFonts w:ascii="Consolas" w:cs="Consolas" w:eastAsia="Consolas" w:hAnsi="Consolas"/>
                <w:sz w:val="18"/>
                <w:szCs w:val="18"/>
              </w:rPr>
              <w:t xml:space="preserve">  const total = Math.floor(raw + 0.5);</w:t>
            </w:r>
          </w:p>
          <w:p>
            <w:pPr>
              <w:spacing w:after="20" w:line="260"/>
            </w:pPr>
            <w:r>
              <w:rPr>
                <w:rFonts w:ascii="Consolas" w:cs="Consolas" w:eastAsia="Consolas" w:hAnsi="Consolas"/>
                <w:sz w:val="18"/>
                <w:szCs w:val="18"/>
              </w:rPr>
              <w:t>}</w:t>
            </w:r>
          </w:p>
        </w:tc>
      </w:tr>
    </w:tbl>
    <w:p>
      <w:pPr>
        <w:pStyle w:val="Heading2"/>
      </w:pPr>
      <w:r>
        <w:t>Four details worth being able to point at</w:t>
      </w:r>
    </w:p>
    <w:p>
      <w:pPr>
        <w:pStyle w:val="ListParagraph"/>
        <w:numPr>
          <w:ilvl w:val="0"/>
          <w:numId w:val="2"/>
        </w:numPr>
        <w:spacing w:after="70"/>
      </w:pPr>
      <w:r>
        <w:rPr>
          <w:b/>
          <w:bCs/>
        </w:rPr>
        <w:t xml:space="preserve">Education takes the highest, not the sum.</w:t>
      </w:r>
      <w:r>
        <w:t xml:space="preserve"> Two bachelor degrees are still one bachelor.</w:t>
      </w:r>
    </w:p>
    <w:p>
      <w:pPr>
        <w:pStyle w:val="ListParagraph"/>
        <w:numPr>
          <w:ilvl w:val="0"/>
          <w:numId w:val="2"/>
        </w:numPr>
        <w:spacing w:after="70"/>
      </w:pPr>
      <w:r>
        <w:rPr>
          <w:b/>
          <w:bCs/>
        </w:rPr>
        <w:t xml:space="preserve">Experience takes the sum, not the highest.</w:t>
      </w:r>
      <w:r>
        <w:t xml:space="preserve"> Two six-month jobs are twelve months.</w:t>
      </w:r>
    </w:p>
    <w:p>
      <w:pPr>
        <w:pStyle w:val="ListParagraph"/>
        <w:numPr>
          <w:ilvl w:val="0"/>
          <w:numId w:val="2"/>
        </w:numPr>
        <w:spacing w:after="70"/>
      </w:pPr>
      <w:r>
        <w:rPr>
          <w:b/>
          <w:bCs/>
        </w:rPr>
        <w:t xml:space="preserve">Requiring nothing gives everyone full marks.</w:t>
      </w:r>
      <w:r>
        <w:t xml:space="preserve"> The formula divides by what is required, so a zero requirement means nothing to fall short of.</w:t>
      </w:r>
    </w:p>
    <w:p>
      <w:pPr>
        <w:pStyle w:val="ListParagraph"/>
        <w:numPr>
          <w:ilvl w:val="0"/>
          <w:numId w:val="2"/>
        </w:numPr>
        <w:spacing w:after="70"/>
      </w:pPr>
      <w:r>
        <w:rPr>
          <w:b/>
          <w:bCs/>
        </w:rPr>
        <w:t>A skill with no source counts half, not zero. UNEVIDENCED_CREDIT is 0.5, it is a published constant rather than a tuning knob, and the engine suite fails if it moves.</w:t>
      </w:r>
    </w:p>
    <w:p>
      <w:pPr>
        <w:pStyle w:val="Heading2"/>
      </w:pPr>
      <w:r>
        <w:t xml:space="preserve">Where the weights come from</w:t>
      </w:r>
    </w:p>
    <w:p>
      <w:r>
        <w:t xml:space="preserve">A posting's own weights are used only if all three are present, are finite, are not negative, and sum to exactly 100. Otherwise the site defaults are used — as a whole set, never rescaled and never mixed.</w:t>
      </w:r>
    </w:p>
    <w:p>
      <w:r>
        <w:t xml:space="preserve">The reason is that a half-applied override is worse than none: a posting with skills at 70 and the other two left at their defaults would score out of 120, and nobody looking at the number would know.</w:t>
      </w:r>
    </w:p>
    <w:p>
      <w:pPr>
        <w:pStyle w:val="Heading2"/>
      </w:pPr>
      <w:r>
        <w:t xml:space="preserve">The same formula in three places</w:t>
      </w:r>
    </w:p>
    <w:p>
      <w:r>
        <w:t xml:space="preserve">The engine is written twice — once in the server and once in the browser — so the live preview does not need a network round trip per opening. Duplication is a risk, so a parity test suite scores the same fixtures through both and asserts identical results. If someone changes one side only, that suite fails.</w:t>
      </w:r>
    </w:p>
    <w:p>
      <w:pPr>
        <w:pStyle w:val="Heading2"/>
      </w:pPr>
      <w:r>
        <w:t>Absent and empty are not the same thing</w:t>
      </w:r>
    </w:p>
    <w:p>
      <w:r>
        <w:t>The evidence map has three states and the engine treats two of them differently, which is the kind of detail worth having ready. An EMPTY map means the applicant was asked and named no sources, so their matched skills take half credit. An ABSENT map means the question was never put at all.</w:t>
      </w:r>
    </w:p>
    <w:p>
      <w:r>
        <w:t>Exactly one caller is in that second position: the scorer for the applicant’s own uploaded document, which a machine read out of a file where there was no builder to ask in. Docking an applicant for a screen they were never shown would be indefensible, so an absent map scores every match in full and reports nothing as unsourced. Two engine tests pin both branches, because a future refactor collapsing them would look harmless and would quietly change everybody’s file score.</w:t>
      </w:r>
    </w:p>
    <w:p>
      <w:r>
        <w:br w:type="page"/>
      </w:r>
    </w:p>
    <w:p>
      <w:pPr>
        <w:pStyle w:val="Heading1"/>
      </w:pPr>
      <w:r>
        <w:t xml:space="preserve">5 · The two document readers</w:t>
      </w:r>
    </w:p>
    <w:tbl>
      <w:tblPr>
        <w:tblW w:type="dxa" w:w="9360"/>
        <w:tblBorders>
          <w:top w:val="single" w:color="C9CDD4" w:sz="2"/>
          <w:left w:val="none"/>
          <w:bottom w:val="single" w:color="C9CDD4" w:sz="2"/>
          <w:right w:val="none"/>
          <w:insideH w:val="single" w:color="C9CDD4" w:sz="1"/>
          <w:insideV w:val="none"/>
        </w:tblBorders>
      </w:tblPr>
      <w:tblGrid>
        <w:gridCol w:w="2400"/>
        <w:gridCol w:w="3480"/>
        <w:gridCol w:w="3480"/>
      </w:tblGrid>
      <w:tr>
        <w:trPr>
          <w:tblHeader/>
        </w:trPr>
        <w:tc>
          <w:tcPr>
            <w:tcW w:type="dxa" w:w="2400"/>
            <w:shd w:fill="F4F1EA" w:val="clear"/>
            <w:tcMar>
              <w:top w:type="dxa" w:w="90"/>
              <w:left w:type="dxa" w:w="130"/>
              <w:bottom w:type="dxa" w:w="90"/>
              <w:right w:type="dxa" w:w="130"/>
            </w:tcMar>
          </w:tcPr>
          <w:p>
            <w:r>
              <w:rPr>
                <w:b/>
                <w:bCs/>
                <w:sz w:val="19"/>
                <w:szCs w:val="19"/>
              </w:rPr>
              <w:t xml:space="preserve"/>
            </w:r>
          </w:p>
        </w:tc>
        <w:tc>
          <w:tcPr>
            <w:tcW w:type="dxa" w:w="3480"/>
            <w:shd w:fill="F4F1EA" w:val="clear"/>
            <w:tcMar>
              <w:top w:type="dxa" w:w="90"/>
              <w:left w:type="dxa" w:w="130"/>
              <w:bottom w:type="dxa" w:w="90"/>
              <w:right w:type="dxa" w:w="130"/>
            </w:tcMar>
          </w:tcPr>
          <w:p>
            <w:r>
              <w:rPr>
                <w:b/>
                <w:bCs/>
                <w:sz w:val="19"/>
                <w:szCs w:val="19"/>
              </w:rPr>
              <w:t xml:space="preserve">Rule-based reader</w:t>
            </w:r>
          </w:p>
        </w:tc>
        <w:tc>
          <w:tcPr>
            <w:tcW w:type="dxa" w:w="3480"/>
            <w:shd w:fill="F4F1EA" w:val="clear"/>
            <w:tcMar>
              <w:top w:type="dxa" w:w="90"/>
              <w:left w:type="dxa" w:w="130"/>
              <w:bottom w:type="dxa" w:w="90"/>
              <w:right w:type="dxa" w:w="130"/>
            </w:tcMar>
          </w:tcPr>
          <w:p>
            <w:r>
              <w:rPr>
                <w:b/>
                <w:bCs/>
                <w:sz w:val="19"/>
                <w:szCs w:val="19"/>
              </w:rPr>
              <w:t xml:space="preserve">Gemini reader</w:t>
            </w:r>
          </w:p>
        </w:tc>
      </w:tr>
      <w:tr>
        <w:tc>
          <w:tcPr>
            <w:tcW w:type="dxa" w:w="2400"/>
            <w:tcMar>
              <w:top w:type="dxa" w:w="90"/>
              <w:left w:type="dxa" w:w="130"/>
              <w:bottom w:type="dxa" w:w="90"/>
              <w:right w:type="dxa" w:w="130"/>
            </w:tcMar>
          </w:tcPr>
          <w:p>
            <w:r>
              <w:rPr>
                <w:sz w:val="19"/>
                <w:szCs w:val="19"/>
              </w:rPr>
              <w:t xml:space="preserve">Size</w:t>
            </w:r>
          </w:p>
        </w:tc>
        <w:tc>
          <w:tcPr>
            <w:tcW w:type="dxa" w:w="3480"/>
            <w:tcMar>
              <w:top w:type="dxa" w:w="90"/>
              <w:left w:type="dxa" w:w="130"/>
              <w:bottom w:type="dxa" w:w="90"/>
              <w:right w:type="dxa" w:w="130"/>
            </w:tcMar>
          </w:tcPr>
          <w:p>
            <w:r>
              <w:rPr>
                <w:sz w:val="19"/>
                <w:szCs w:val="19"/>
              </w:rPr>
              <w:t xml:space="preserve">555 lines</w:t>
            </w:r>
          </w:p>
        </w:tc>
        <w:tc>
          <w:tcPr>
            <w:tcW w:type="dxa" w:w="3480"/>
            <w:tcMar>
              <w:top w:type="dxa" w:w="90"/>
              <w:left w:type="dxa" w:w="130"/>
              <w:bottom w:type="dxa" w:w="90"/>
              <w:right w:type="dxa" w:w="130"/>
            </w:tcMar>
          </w:tcPr>
          <w:p>
            <w:r>
              <w:rPr>
                <w:sz w:val="19"/>
                <w:szCs w:val="19"/>
              </w:rPr>
              <w:t xml:space="preserve">406 lines</w:t>
            </w:r>
          </w:p>
        </w:tc>
      </w:tr>
      <w:tr>
        <w:tc>
          <w:tcPr>
            <w:tcW w:type="dxa" w:w="2400"/>
            <w:tcMar>
              <w:top w:type="dxa" w:w="90"/>
              <w:left w:type="dxa" w:w="130"/>
              <w:bottom w:type="dxa" w:w="90"/>
              <w:right w:type="dxa" w:w="130"/>
            </w:tcMar>
          </w:tcPr>
          <w:p>
            <w:r>
              <w:rPr>
                <w:sz w:val="19"/>
                <w:szCs w:val="19"/>
              </w:rPr>
              <w:t xml:space="preserve">How it works</w:t>
            </w:r>
          </w:p>
        </w:tc>
        <w:tc>
          <w:tcPr>
            <w:tcW w:type="dxa" w:w="3480"/>
            <w:tcMar>
              <w:top w:type="dxa" w:w="90"/>
              <w:left w:type="dxa" w:w="130"/>
              <w:bottom w:type="dxa" w:w="90"/>
              <w:right w:type="dxa" w:w="130"/>
            </w:tcMar>
          </w:tcPr>
          <w:p>
            <w:r>
              <w:rPr>
                <w:sz w:val="19"/>
                <w:szCs w:val="19"/>
              </w:rPr>
              <w:t xml:space="preserve">Headings, patterns, dates</w:t>
            </w:r>
          </w:p>
        </w:tc>
        <w:tc>
          <w:tcPr>
            <w:tcW w:type="dxa" w:w="3480"/>
            <w:tcMar>
              <w:top w:type="dxa" w:w="90"/>
              <w:left w:type="dxa" w:w="130"/>
              <w:bottom w:type="dxa" w:w="90"/>
              <w:right w:type="dxa" w:w="130"/>
            </w:tcMar>
          </w:tcPr>
          <w:p>
            <w:r>
              <w:rPr>
                <w:sz w:val="19"/>
                <w:szCs w:val="19"/>
              </w:rPr>
              <w:t xml:space="preserve">Sends the document to Google</w:t>
            </w:r>
          </w:p>
        </w:tc>
      </w:tr>
      <w:tr>
        <w:tc>
          <w:tcPr>
            <w:tcW w:type="dxa" w:w="2400"/>
            <w:tcMar>
              <w:top w:type="dxa" w:w="90"/>
              <w:left w:type="dxa" w:w="130"/>
              <w:bottom w:type="dxa" w:w="90"/>
              <w:right w:type="dxa" w:w="130"/>
            </w:tcMar>
          </w:tcPr>
          <w:p>
            <w:r>
              <w:rPr>
                <w:sz w:val="19"/>
                <w:szCs w:val="19"/>
              </w:rPr>
              <w:t xml:space="preserve">Needs a key</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Data leaves the server</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Reads photos and scans</w:t>
            </w:r>
          </w:p>
        </w:tc>
        <w:tc>
          <w:tcPr>
            <w:tcW w:type="dxa" w:w="3480"/>
            <w:tcMar>
              <w:top w:type="dxa" w:w="90"/>
              <w:left w:type="dxa" w:w="130"/>
              <w:bottom w:type="dxa" w:w="90"/>
              <w:right w:type="dxa" w:w="130"/>
            </w:tcMar>
          </w:tcPr>
          <w:p>
            <w:r>
              <w:rPr>
                <w:sz w:val="19"/>
                <w:szCs w:val="19"/>
              </w:rPr>
              <w:t xml:space="preserve">No</w:t>
            </w:r>
          </w:p>
        </w:tc>
        <w:tc>
          <w:tcPr>
            <w:tcW w:type="dxa" w:w="3480"/>
            <w:tcMar>
              <w:top w:type="dxa" w:w="90"/>
              <w:left w:type="dxa" w:w="130"/>
              <w:bottom w:type="dxa" w:w="90"/>
              <w:right w:type="dxa" w:w="130"/>
            </w:tcMar>
          </w:tcPr>
          <w:p>
            <w:r>
              <w:rPr>
                <w:sz w:val="19"/>
                <w:szCs w:val="19"/>
              </w:rPr>
              <w:t xml:space="preserve">Yes</w:t>
            </w:r>
          </w:p>
        </w:tc>
      </w:tr>
      <w:tr>
        <w:tc>
          <w:tcPr>
            <w:tcW w:type="dxa" w:w="2400"/>
            <w:tcMar>
              <w:top w:type="dxa" w:w="90"/>
              <w:left w:type="dxa" w:w="130"/>
              <w:bottom w:type="dxa" w:w="90"/>
              <w:right w:type="dxa" w:w="130"/>
            </w:tcMar>
          </w:tcPr>
          <w:p>
            <w:r>
              <w:rPr>
                <w:sz w:val="19"/>
                <w:szCs w:val="19"/>
              </w:rPr>
              <w:t xml:space="preserve">Reads messy layouts</w:t>
            </w:r>
          </w:p>
        </w:tc>
        <w:tc>
          <w:tcPr>
            <w:tcW w:type="dxa" w:w="3480"/>
            <w:tcMar>
              <w:top w:type="dxa" w:w="90"/>
              <w:left w:type="dxa" w:w="130"/>
              <w:bottom w:type="dxa" w:w="90"/>
              <w:right w:type="dxa" w:w="130"/>
            </w:tcMar>
          </w:tcPr>
          <w:p>
            <w:r>
              <w:rPr>
                <w:sz w:val="19"/>
                <w:szCs w:val="19"/>
              </w:rPr>
              <w:t xml:space="preserve">Degrades</w:t>
            </w:r>
          </w:p>
        </w:tc>
        <w:tc>
          <w:tcPr>
            <w:tcW w:type="dxa" w:w="3480"/>
            <w:tcMar>
              <w:top w:type="dxa" w:w="90"/>
              <w:left w:type="dxa" w:w="130"/>
              <w:bottom w:type="dxa" w:w="90"/>
              <w:right w:type="dxa" w:w="130"/>
            </w:tcMar>
          </w:tcPr>
          <w:p>
            <w:r>
              <w:rPr>
                <w:sz w:val="19"/>
                <w:szCs w:val="19"/>
              </w:rPr>
              <w:t xml:space="preserve">Well</w:t>
            </w:r>
          </w:p>
        </w:tc>
      </w:tr>
    </w:tbl>
    <w:p>
      <w:pPr>
        <w:pStyle w:val="Heading2"/>
      </w:pPr>
      <w:r>
        <w:t xml:space="preserve">How auto mode works</w:t>
      </w:r>
    </w:p>
    <w:p>
      <w:r>
        <w:t xml:space="preserve">In auto, Gemini is tried first and the rule-based reader catches every way it can fail: no key, exhausted quota, network down, a reply that is not usable, a reply that yields nothing, or a file type the AI path refuses but the rules can handle.</w:t>
      </w:r>
    </w:p>
    <w:p>
      <w:r>
        <w:t xml:space="preserve">The result records which reader actually produced it, because the study compares the two over the same files and that answer has to travel with the result rather than be guessed from configuration afterwards.</w:t>
      </w:r>
    </w:p>
    <w:p>
      <w:pPr>
        <w:pStyle w:val="Heading2"/>
      </w:pPr>
      <w:r>
        <w:t xml:space="preserve">Why the Gemini call is shaped the way it is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generationConfig: {</w:t>
            </w:r>
          </w:p>
          <w:p>
            <w:pPr>
              <w:spacing w:after="20" w:line="260"/>
            </w:pPr>
            <w:r>
              <w:rPr>
                <w:rFonts w:ascii="Consolas" w:cs="Consolas" w:eastAsia="Consolas" w:hAnsi="Consolas"/>
                <w:sz w:val="18"/>
                <w:szCs w:val="18"/>
              </w:rPr>
              <w:t xml:space="preserve">  responseMimeType: 'application/json',</w:t>
            </w:r>
          </w:p>
          <w:p>
            <w:pPr>
              <w:spacing w:after="20" w:line="260"/>
            </w:pPr>
            <w:r>
              <w:rPr>
                <w:rFonts w:ascii="Consolas" w:cs="Consolas" w:eastAsia="Consolas" w:hAnsi="Consolas"/>
                <w:sz w:val="18"/>
                <w:szCs w:val="18"/>
              </w:rPr>
              <w:t xml:space="preserve">  temperature: 0,</w:t>
            </w:r>
          </w:p>
          <w:p>
            <w:pPr>
              <w:spacing w:after="20" w:line="260"/>
            </w:pPr>
            <w:r>
              <w:rPr>
                <w:rFonts w:ascii="Consolas" w:cs="Consolas" w:eastAsia="Consolas" w:hAnsi="Consolas"/>
                <w:sz w:val="18"/>
                <w:szCs w:val="18"/>
              </w:rPr>
              <w:t xml:space="preserve">  responseSchema: RESPONSE_SCHEMA,   // declare the shape, do not just ask</w:t>
            </w:r>
          </w:p>
          <w:p>
            <w:pPr>
              <w:spacing w:after="20" w:line="260"/>
            </w:pPr>
            <w:r>
              <w:rPr>
                <w:rFonts w:ascii="Consolas" w:cs="Consolas" w:eastAsia="Consolas" w:hAnsi="Consolas"/>
                <w:sz w:val="18"/>
                <w:szCs w:val="18"/>
              </w:rPr>
              <w:t xml:space="preserve">  thinkingConfig: { thinkingBudget: 0 },</w:t>
            </w:r>
          </w:p>
          <w:p>
            <w:pPr>
              <w:spacing w:after="20" w:line="260"/>
            </w:pPr>
            <w:r>
              <w:rPr>
                <w:rFonts w:ascii="Consolas" w:cs="Consolas" w:eastAsia="Consolas" w:hAnsi="Consolas"/>
                <w:sz w:val="18"/>
                <w:szCs w:val="18"/>
              </w:rPr>
              <w:t xml:space="preserve">}</w:t>
            </w:r>
          </w:p>
        </w:tc>
      </w:tr>
    </w:tbl>
    <w:p>
      <w:pPr>
        <w:pStyle w:val="ListParagraph"/>
        <w:numPr>
          <w:ilvl w:val="0"/>
          <w:numId w:val="2"/>
        </w:numPr>
        <w:spacing w:after="70"/>
      </w:pPr>
      <w:r>
        <w:rPr>
          <w:rFonts w:ascii="Consolas" w:cs="Consolas" w:eastAsia="Consolas" w:hAnsi="Consolas"/>
          <w:b/>
          <w:bCs/>
          <w:sz w:val="19"/>
          <w:szCs w:val="19"/>
        </w:rPr>
        <w:t xml:space="preserve">temperature 0</w:t>
      </w:r>
      <w:r>
        <w:t xml:space="preserve"> — extraction should be deterministic. The same document should give the same fields.</w:t>
      </w:r>
    </w:p>
    <w:p>
      <w:pPr>
        <w:pStyle w:val="ListParagraph"/>
        <w:numPr>
          <w:ilvl w:val="0"/>
          <w:numId w:val="2"/>
        </w:numPr>
        <w:spacing w:after="70"/>
      </w:pPr>
      <w:r>
        <w:rPr>
          <w:rFonts w:ascii="Consolas" w:cs="Consolas" w:eastAsia="Consolas" w:hAnsi="Consolas"/>
          <w:b/>
          <w:bCs/>
          <w:sz w:val="19"/>
          <w:szCs w:val="19"/>
        </w:rPr>
        <w:t xml:space="preserve">responseSchema</w:t>
      </w:r>
      <w:r>
        <w:t xml:space="preserve"> — asking for JSON in the prompt is not enough. Without the declared schema the reply came back missing its closing brace, reliably, with no error. With it, the same call parsed every time and returned byte-identical output.</w:t>
      </w:r>
    </w:p>
    <w:p>
      <w:pPr>
        <w:pStyle w:val="ListParagraph"/>
        <w:numPr>
          <w:ilvl w:val="0"/>
          <w:numId w:val="2"/>
        </w:numPr>
        <w:spacing w:after="70"/>
      </w:pPr>
      <w:r>
        <w:rPr>
          <w:rFonts w:ascii="Consolas" w:cs="Consolas" w:eastAsia="Consolas" w:hAnsi="Consolas"/>
          <w:b/>
          <w:bCs/>
          <w:sz w:val="19"/>
          <w:szCs w:val="19"/>
        </w:rPr>
        <w:t xml:space="preserve">thinkingBudget 0</w:t>
      </w:r>
      <w:r>
        <w:t xml:space="preserve"> — copying text out of a document is not reasoning, and the deliberation costs latency on a page an applicant is waiting on.</w:t>
      </w:r>
    </w:p>
    <w:p>
      <w:r>
        <w:t xml:space="preserve">The prompt itself also injects the site's own skill vocabulary, so extracted skills land on the spellings the engine recognises instead of near-misses that would score nothing.</w:t>
      </w:r>
    </w:p>
    <w:p>
      <w:r>
        <w:br w:type="page"/>
      </w:r>
    </w:p>
    <w:p>
      <w:pPr>
        <w:pStyle w:val="Heading1"/>
      </w:pPr>
      <w:r>
        <w:t xml:space="preserve">6 · The database</w:t>
      </w:r>
    </w:p>
    <w:p>
      <w:r>
        <w:t>Twenty-two tables and sixteen CHECK constraints, all in one file that can be run from scratch on an empty database.</w:t>
      </w:r>
    </w:p>
    <w:p>
      <w:pPr>
        <w:pStyle w:val="Heading2"/>
      </w:pPr>
      <w:r>
        <w:t xml:space="preserve">Constraints do the guarding</w:t>
      </w:r>
    </w:p>
    <w:p>
      <w:r>
        <w:t xml:space="preserve">Rules are enforced by the database, not only by the application, so a bug in the code cannot write a row that violates them.</w:t>
      </w:r>
    </w:p>
    <w:p>
      <w:pPr>
        <w:pStyle w:val="ListParagraph"/>
        <w:numPr>
          <w:ilvl w:val="0"/>
          <w:numId w:val="2"/>
        </w:numPr>
        <w:spacing w:after="70"/>
      </w:pPr>
      <w:r>
        <w:rPr>
          <w:b/>
          <w:bCs/>
        </w:rPr>
        <w:t>An application status must be one of ten values — applied, for scheduling, for initial interview, for testing, shortlisted, final interview &amp; selection, job offer, hired/onboarding, not selected, withdrawn.</w:t>
      </w:r>
      <w:r/>
    </w:p>
    <w:p>
      <w:pPr>
        <w:pStyle w:val="ListParagraph"/>
        <w:numPr>
          <w:ilvl w:val="0"/>
          <w:numId w:val="2"/>
        </w:numPr>
        <w:spacing w:after="70"/>
      </w:pPr>
      <w:r>
        <w:rPr>
          <w:b/>
          <w:bCs/>
        </w:rPr>
        <w:t xml:space="preserve">A resume design must be one of the fourteen.</w:t>
      </w:r>
    </w:p>
    <w:p>
      <w:pPr>
        <w:pStyle w:val="ListParagraph"/>
        <w:numPr>
          <w:ilvl w:val="0"/>
          <w:numId w:val="2"/>
        </w:numPr>
        <w:spacing w:after="70"/>
      </w:pPr>
      <w:r>
        <w:rPr>
          <w:b/>
          <w:bCs/>
        </w:rPr>
        <w:t xml:space="preserve">One application per person per opening</w:t>
      </w:r>
      <w:r>
        <w:t xml:space="preserve"> — a uniqueness constraint, not a code check.</w:t>
      </w:r>
    </w:p>
    <w:p>
      <w:pPr>
        <w:pStyle w:val="ListParagraph"/>
        <w:numPr>
          <w:ilvl w:val="0"/>
          <w:numId w:val="2"/>
        </w:numPr>
        <w:spacing w:after="70"/>
      </w:pPr>
      <w:r>
        <w:rPr>
          <w:b/>
          <w:bCs/>
        </w:rPr>
        <w:t>A rejection reason must be one of the eight codes, and a skill’s source must be one of five kinds — experience, project, certification, education, or the file the applicant uploaded. Both are enforced by CHECK constraints, and an engine test reads the constraint out of the schema file and asserts it lists exactly the kinds the engine accepts. A kind the code allows and the database refuses would fail a save with a 500 nobody could explain.</w:t>
      </w:r>
    </w:p>
    <w:p>
      <w:pPr>
        <w:pStyle w:val="Heading2"/>
      </w:pPr>
      <w:r>
        <w:t xml:space="preserve">Migrations run at startup</w:t>
      </w:r>
    </w:p>
    <w:p>
      <w:r>
        <w:t xml:space="preserve">The server applies schema migrations when it boots, and they are written to be safe to run repeatedly. In production a failed migration stops the server from starting at all — a deployment that fails loudly is cheaper to diagnose than one that half-works for a week. In development it warns and continues, so the demo still runs on a laptop with no database.</w:t>
      </w:r>
    </w:p>
    <w:p>
      <w:pPr>
        <w:pStyle w:val="Heading2"/>
      </w:pPr>
      <w:r>
        <w:t xml:space="preserve">Skills are one shared table</w:t>
      </w:r>
    </w:p>
    <w:p>
      <w:r>
        <w:t xml:space="preserve">A skill is a row, referenced by both resumes and postings. That is why matching works reliably: the comparison is between identifiers, not strings typed twice.</w:t>
      </w:r>
    </w:p>
    <w:p>
      <w:r>
        <w:br w:type="page"/>
      </w:r>
    </w:p>
    <w:p>
      <w:pPr>
        <w:pStyle w:val="Heading1"/>
      </w:pPr>
      <w:r>
        <w:t xml:space="preserve">7 · Tests</w:t>
      </w:r>
    </w:p>
    <w:p>
      <w:r>
        <w:t>222 automated tests across ten suites, all passing.</w:t>
      </w:r>
    </w:p>
    <w:tbl>
      <w:tblPr>
        <w:tblW w:type="dxa" w:w="9360"/>
        <w:tblBorders>
          <w:top w:val="single" w:color="C9CDD4" w:sz="2"/>
          <w:left w:val="none"/>
          <w:bottom w:val="single" w:color="C9CDD4" w:sz="2"/>
          <w:right w:val="none"/>
          <w:insideH w:val="single" w:color="C9CDD4" w:sz="1"/>
          <w:insideV w:val="none"/>
        </w:tblBorders>
      </w:tblPr>
      <w:tblGrid>
        <w:gridCol w:w="1800"/>
        <w:gridCol w:w="1100"/>
        <w:gridCol w:w="6460"/>
      </w:tblGrid>
      <w:tr>
        <w:trPr>
          <w:tblHeader/>
        </w:trPr>
        <w:tc>
          <w:tcPr>
            <w:tcW w:type="dxa" w:w="1800"/>
            <w:shd w:fill="F4F1EA" w:val="clear"/>
            <w:tcMar>
              <w:top w:type="dxa" w:w="90"/>
              <w:left w:type="dxa" w:w="130"/>
              <w:bottom w:type="dxa" w:w="90"/>
              <w:right w:type="dxa" w:w="130"/>
            </w:tcMar>
          </w:tcPr>
          <w:p>
            <w:r>
              <w:rPr>
                <w:b/>
                <w:bCs/>
                <w:sz w:val="19"/>
                <w:szCs w:val="19"/>
              </w:rPr>
              <w:t xml:space="preserve">Suite</w:t>
            </w:r>
          </w:p>
        </w:tc>
        <w:tc>
          <w:tcPr>
            <w:tcW w:type="dxa" w:w="1100"/>
            <w:shd w:fill="F4F1EA" w:val="clear"/>
            <w:tcMar>
              <w:top w:type="dxa" w:w="90"/>
              <w:left w:type="dxa" w:w="130"/>
              <w:bottom w:type="dxa" w:w="90"/>
              <w:right w:type="dxa" w:w="130"/>
            </w:tcMar>
          </w:tcPr>
          <w:p>
            <w:r>
              <w:rPr>
                <w:b/>
                <w:bCs/>
                <w:sz w:val="19"/>
                <w:szCs w:val="19"/>
              </w:rPr>
              <w:t xml:space="preserve">Tests</w:t>
            </w:r>
          </w:p>
        </w:tc>
        <w:tc>
          <w:tcPr>
            <w:tcW w:type="dxa" w:w="6460"/>
            <w:shd w:fill="F4F1EA" w:val="clear"/>
            <w:tcMar>
              <w:top w:type="dxa" w:w="90"/>
              <w:left w:type="dxa" w:w="130"/>
              <w:bottom w:type="dxa" w:w="90"/>
              <w:right w:type="dxa" w:w="130"/>
            </w:tcMar>
          </w:tcPr>
          <w:p>
            <w:r>
              <w:rPr>
                <w:b/>
                <w:bCs/>
                <w:sz w:val="19"/>
                <w:szCs w:val="19"/>
              </w:rPr>
              <w:t xml:space="preserve">What it proves</w:t>
            </w:r>
          </w:p>
        </w:tc>
      </w:tr>
      <w:tr>
        <w:tc>
          <w:tcPr>
            <w:tcW w:type="dxa" w:w="1800"/>
            <w:tcMar>
              <w:top w:type="dxa" w:w="90"/>
              <w:left w:type="dxa" w:w="130"/>
              <w:bottom w:type="dxa" w:w="90"/>
              <w:right w:type="dxa" w:w="130"/>
            </w:tcMar>
          </w:tcPr>
          <w:p>
            <w:r>
              <w:rPr>
                <w:sz w:val="19"/>
                <w:szCs w:val="19"/>
              </w:rPr>
              <w:t xml:space="preserve">Engine</w:t>
            </w:r>
          </w:p>
        </w:tc>
        <w:tc>
          <w:tcPr>
            <w:tcW w:type="dxa" w:w="1100"/>
            <w:tcMar>
              <w:top w:type="dxa" w:w="90"/>
              <w:left w:type="dxa" w:w="130"/>
              <w:bottom w:type="dxa" w:w="90"/>
              <w:right w:type="dxa" w:w="130"/>
            </w:tcMar>
          </w:tcPr>
          <w:p>
            <w:r>
              <w:rPr>
                <w:sz w:val="19"/>
                <w:szCs w:val="19"/>
              </w:rPr>
              <w:t>51</w:t>
            </w:r>
          </w:p>
        </w:tc>
        <w:tc>
          <w:tcPr>
            <w:tcW w:type="dxa" w:w="6460"/>
            <w:tcMar>
              <w:top w:type="dxa" w:w="90"/>
              <w:left w:type="dxa" w:w="130"/>
              <w:bottom w:type="dxa" w:w="90"/>
              <w:right w:type="dxa" w:w="130"/>
            </w:tcMar>
          </w:tcPr>
          <w:p>
            <w:r>
              <w:rPr>
                <w:sz w:val="19"/>
                <w:szCs w:val="19"/>
              </w:rPr>
              <w:t>The formula, the constants, the tiers, the edge cases, and the half-credit rule</w:t>
            </w:r>
          </w:p>
        </w:tc>
      </w:tr>
      <w:tr>
        <w:tc>
          <w:tcPr>
            <w:tcW w:type="dxa" w:w="1800"/>
            <w:tcMar>
              <w:top w:type="dxa" w:w="90"/>
              <w:left w:type="dxa" w:w="130"/>
              <w:bottom w:type="dxa" w:w="90"/>
              <w:right w:type="dxa" w:w="130"/>
            </w:tcMar>
          </w:tcPr>
          <w:p>
            <w:r>
              <w:rPr>
                <w:sz w:val="19"/>
                <w:szCs w:val="19"/>
              </w:rPr>
              <w:t xml:space="preserve">API</w:t>
            </w:r>
          </w:p>
        </w:tc>
        <w:tc>
          <w:tcPr>
            <w:tcW w:type="dxa" w:w="1100"/>
            <w:tcMar>
              <w:top w:type="dxa" w:w="90"/>
              <w:left w:type="dxa" w:w="130"/>
              <w:bottom w:type="dxa" w:w="90"/>
              <w:right w:type="dxa" w:w="130"/>
            </w:tcMar>
          </w:tcPr>
          <w:p>
            <w:r>
              <w:rPr>
                <w:sz w:val="19"/>
                <w:szCs w:val="19"/>
              </w:rPr>
              <w:t>52</w:t>
            </w:r>
          </w:p>
        </w:tc>
        <w:tc>
          <w:tcPr>
            <w:tcW w:type="dxa" w:w="6460"/>
            <w:tcMar>
              <w:top w:type="dxa" w:w="90"/>
              <w:left w:type="dxa" w:w="130"/>
              <w:bottom w:type="dxa" w:w="90"/>
              <w:right w:type="dxa" w:w="130"/>
            </w:tcMar>
          </w:tcPr>
          <w:p>
            <w:r>
              <w:rPr>
                <w:sz w:val="19"/>
                <w:szCs w:val="19"/>
              </w:rPr>
              <w:t>Every endpoint, including who is refused and why, and what each audience is shown</w:t>
            </w:r>
          </w:p>
        </w:tc>
      </w:tr>
      <w:tr>
        <w:tc>
          <w:tcPr>
            <w:tcW w:type="dxa" w:w="1800"/>
            <w:tcMar>
              <w:top w:type="dxa" w:w="90"/>
              <w:left w:type="dxa" w:w="130"/>
              <w:bottom w:type="dxa" w:w="90"/>
              <w:right w:type="dxa" w:w="130"/>
            </w:tcMar>
          </w:tcPr>
          <w:p>
            <w:r>
              <w:rPr>
                <w:sz w:val="19"/>
                <w:szCs w:val="19"/>
              </w:rPr>
              <w:t xml:space="preserve">Parity</w:t>
            </w:r>
          </w:p>
        </w:tc>
        <w:tc>
          <w:tcPr>
            <w:tcW w:type="dxa" w:w="1100"/>
            <w:tcMar>
              <w:top w:type="dxa" w:w="90"/>
              <w:left w:type="dxa" w:w="130"/>
              <w:bottom w:type="dxa" w:w="90"/>
              <w:right w:type="dxa" w:w="130"/>
            </w:tcMar>
          </w:tcPr>
          <w:p>
            <w:r>
              <w:rPr>
                <w:sz w:val="19"/>
                <w:szCs w:val="19"/>
              </w:rPr>
              <w:t xml:space="preserve">13</w:t>
            </w:r>
          </w:p>
        </w:tc>
        <w:tc>
          <w:tcPr>
            <w:tcW w:type="dxa" w:w="6460"/>
            <w:tcMar>
              <w:top w:type="dxa" w:w="90"/>
              <w:left w:type="dxa" w:w="130"/>
              <w:bottom w:type="dxa" w:w="90"/>
              <w:right w:type="dxa" w:w="130"/>
            </w:tcMar>
          </w:tcPr>
          <w:p>
            <w:r>
              <w:rPr>
                <w:sz w:val="19"/>
                <w:szCs w:val="19"/>
              </w:rPr>
              <w:t xml:space="preserve">The server engine and the browser engine agree exactly</w:t>
            </w:r>
          </w:p>
        </w:tc>
      </w:tr>
      <w:tr>
        <w:tc>
          <w:tcPr>
            <w:tcW w:type="dxa" w:w="1800"/>
            <w:tcMar>
              <w:top w:type="dxa" w:w="90"/>
              <w:left w:type="dxa" w:w="130"/>
              <w:bottom w:type="dxa" w:w="90"/>
              <w:right w:type="dxa" w:w="130"/>
            </w:tcMar>
          </w:tcPr>
          <w:p>
            <w:r>
              <w:rPr>
                <w:sz w:val="19"/>
                <w:szCs w:val="19"/>
              </w:rPr>
              <w:t xml:space="preserve">Reader</w:t>
            </w:r>
          </w:p>
        </w:tc>
        <w:tc>
          <w:tcPr>
            <w:tcW w:type="dxa" w:w="1100"/>
            <w:tcMar>
              <w:top w:type="dxa" w:w="90"/>
              <w:left w:type="dxa" w:w="130"/>
              <w:bottom w:type="dxa" w:w="90"/>
              <w:right w:type="dxa" w:w="130"/>
            </w:tcMar>
          </w:tcPr>
          <w:p>
            <w:r>
              <w:rPr>
                <w:sz w:val="19"/>
                <w:szCs w:val="19"/>
              </w:rPr>
              <w:t xml:space="preserve">26</w:t>
            </w:r>
          </w:p>
        </w:tc>
        <w:tc>
          <w:tcPr>
            <w:tcW w:type="dxa" w:w="6460"/>
            <w:tcMar>
              <w:top w:type="dxa" w:w="90"/>
              <w:left w:type="dxa" w:w="130"/>
              <w:bottom w:type="dxa" w:w="90"/>
              <w:right w:type="dxa" w:w="130"/>
            </w:tcMar>
          </w:tcPr>
          <w:p>
            <w:r>
              <w:rPr>
                <w:sz w:val="19"/>
                <w:szCs w:val="19"/>
              </w:rPr>
              <w:t xml:space="preserve">The rule-based reader on real document shapes</w:t>
            </w:r>
          </w:p>
        </w:tc>
      </w:tr>
      <w:tr>
        <w:tc>
          <w:tcPr>
            <w:tcW w:type="dxa" w:w="1800"/>
            <w:tcMar>
              <w:top w:type="dxa" w:w="90"/>
              <w:left w:type="dxa" w:w="130"/>
              <w:bottom w:type="dxa" w:w="90"/>
              <w:right w:type="dxa" w:w="130"/>
            </w:tcMar>
          </w:tcPr>
          <w:p>
            <w:r>
              <w:rPr>
                <w:sz w:val="19"/>
                <w:szCs w:val="19"/>
              </w:rPr>
              <w:t xml:space="preserve">Extraction</w:t>
            </w:r>
          </w:p>
        </w:tc>
        <w:tc>
          <w:tcPr>
            <w:tcW w:type="dxa" w:w="1100"/>
            <w:tcMar>
              <w:top w:type="dxa" w:w="90"/>
              <w:left w:type="dxa" w:w="130"/>
              <w:bottom w:type="dxa" w:w="90"/>
              <w:right w:type="dxa" w:w="130"/>
            </w:tcMar>
          </w:tcPr>
          <w:p>
            <w:r>
              <w:rPr>
                <w:sz w:val="19"/>
                <w:szCs w:val="19"/>
              </w:rPr>
              <w:t xml:space="preserve">10</w:t>
            </w:r>
          </w:p>
        </w:tc>
        <w:tc>
          <w:tcPr>
            <w:tcW w:type="dxa" w:w="6460"/>
            <w:tcMar>
              <w:top w:type="dxa" w:w="90"/>
              <w:left w:type="dxa" w:w="130"/>
              <w:bottom w:type="dxa" w:w="90"/>
              <w:right w:type="dxa" w:w="130"/>
            </w:tcMar>
          </w:tcPr>
          <w:p>
            <w:r>
              <w:rPr>
                <w:sz w:val="19"/>
                <w:szCs w:val="19"/>
              </w:rPr>
              <w:t xml:space="preserve">The Gemini path, its failures, and the fallback</w:t>
            </w:r>
          </w:p>
        </w:tc>
      </w:tr>
      <w:tr>
        <w:tc>
          <w:tcPr>
            <w:tcW w:type="dxa" w:w="1800"/>
            <w:tcMar>
              <w:top w:type="dxa" w:w="90"/>
              <w:left w:type="dxa" w:w="130"/>
              <w:bottom w:type="dxa" w:w="90"/>
              <w:right w:type="dxa" w:w="130"/>
            </w:tcMar>
          </w:tcPr>
          <w:p>
            <w:r>
              <w:rPr>
                <w:sz w:val="19"/>
                <w:szCs w:val="19"/>
              </w:rPr>
              <w:t xml:space="preserve">Email</w:t>
            </w:r>
          </w:p>
        </w:tc>
        <w:tc>
          <w:tcPr>
            <w:tcW w:type="dxa" w:w="1100"/>
            <w:tcMar>
              <w:top w:type="dxa" w:w="90"/>
              <w:left w:type="dxa" w:w="130"/>
              <w:bottom w:type="dxa" w:w="90"/>
              <w:right w:type="dxa" w:w="130"/>
            </w:tcMar>
          </w:tcPr>
          <w:p>
            <w:r>
              <w:rPr>
                <w:sz w:val="19"/>
                <w:szCs w:val="19"/>
              </w:rPr>
              <w:t xml:space="preserve">10</w:t>
            </w:r>
          </w:p>
        </w:tc>
        <w:tc>
          <w:tcPr>
            <w:tcW w:type="dxa" w:w="6460"/>
            <w:tcMar>
              <w:top w:type="dxa" w:w="90"/>
              <w:left w:type="dxa" w:w="130"/>
              <w:bottom w:type="dxa" w:w="90"/>
              <w:right w:type="dxa" w:w="130"/>
            </w:tcMar>
          </w:tcPr>
          <w:p>
            <w:r>
              <w:rPr>
                <w:sz w:val="19"/>
                <w:szCs w:val="19"/>
              </w:rPr>
              <w:t xml:space="preserve">Verification codes, reset, change of address</w:t>
            </w:r>
          </w:p>
        </w:tc>
      </w:tr>
    </w:tbl>
    <w:p>
      <w:r>
        <w:t xml:space="preserve">The engine suite is the one that matters most for the defense: it asserts that the published constants are the constants the software uses. If the paper says 50/25/25 and someone changes the code to 60/20/20, that suite fails. The numbers in the manuscript cannot silently drift away from the numbers in the program.</w:t>
      </w:r>
    </w:p>
    <w:p>
      <w:r>
        <w:t xml:space="preserve">The API suite checks refusals as carefully as successes — that a seeker cannot read another seeker's resume, that an anonymous caller cannot change anybody's name, that a recruiter cannot use admin routes.</w:t>
      </w:r>
    </w:p>
    <w:p>
      <w:r>
        <w:t>Three of its tests exist because a rule about WHO SEES WHAT is invisible in the code until somebody checks it: that a source naming a job the resume does not contain is refused, that the employer name never appears in the printed skills list, and that an applicant reads the reason their application did not proceed but never the name of the staff member who decided it.</w:t>
      </w:r>
    </w:p>
    <w:p>
      <w:r>
        <w:br w:type="page"/>
      </w:r>
    </w:p>
    <w:p>
      <w:pPr>
        <w:pStyle w:val="Heading1"/>
      </w:pPr>
      <w:r>
        <w:t xml:space="preserve">8 · Running it</w:t>
      </w:r>
    </w:p>
    <w:p>
      <w:pPr>
        <w:pStyle w:val="Heading2"/>
      </w:pPr>
      <w:r>
        <w:t xml:space="preserve">Demo mode — no server, no database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cd 05_Website_Angular/client</w:t>
            </w:r>
          </w:p>
          <w:p>
            <w:pPr>
              <w:spacing w:after="20" w:line="260"/>
            </w:pPr>
            <w:r>
              <w:rPr>
                <w:rFonts w:ascii="Consolas" w:cs="Consolas" w:eastAsia="Consolas" w:hAnsi="Consolas"/>
                <w:sz w:val="18"/>
                <w:szCs w:val="18"/>
              </w:rPr>
              <w:t xml:space="preserve">npm install</w:t>
            </w:r>
          </w:p>
          <w:p>
            <w:pPr>
              <w:spacing w:after="20" w:line="260"/>
            </w:pPr>
            <w:r>
              <w:rPr>
                <w:rFonts w:ascii="Consolas" w:cs="Consolas" w:eastAsia="Consolas" w:hAnsi="Consolas"/>
                <w:sz w:val="18"/>
                <w:szCs w:val="18"/>
              </w:rPr>
              <w:t xml:space="preserve">npm start          # open http://localhost:4200</w:t>
            </w:r>
          </w:p>
        </w:tc>
      </w:tr>
    </w:tbl>
    <w:p>
      <w:r>
        <w:t xml:space="preserve">Everything works. Data lives in the browser. Sign in as any seeded account with the password demo123.</w:t>
      </w:r>
    </w:p>
    <w:p>
      <w:pPr>
        <w:pStyle w:val="Heading2"/>
      </w:pPr>
      <w:r>
        <w:t xml:space="preserve">Full mode — server plus database</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1  Load db/linaw_ph.sql into the database</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2  Create server/.env with DATABASE_URL (and GEMINI_API_KEY if used)</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3  Start the server</w:t>
            </w:r>
          </w:p>
          <w:p>
            <w:pPr>
              <w:spacing w:after="20" w:line="260"/>
            </w:pPr>
            <w:r>
              <w:rPr>
                <w:rFonts w:ascii="Consolas" w:cs="Consolas" w:eastAsia="Consolas" w:hAnsi="Consolas"/>
                <w:sz w:val="18"/>
                <w:szCs w:val="18"/>
              </w:rPr>
              <w:t>cd 05_Website_Angular/server &amp;&amp; npm install &amp;&amp; npm run dev</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4  Set mode: 'api' in client/src/environments/environment.ts</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 5  Start the client</w:t>
            </w:r>
          </w:p>
          <w:p>
            <w:pPr>
              <w:spacing w:after="20" w:line="260"/>
            </w:pPr>
            <w:r>
              <w:rPr>
                <w:rFonts w:ascii="Consolas" w:cs="Consolas" w:eastAsia="Consolas" w:hAnsi="Consolas"/>
                <w:sz w:val="18"/>
                <w:szCs w:val="18"/>
              </w:rPr>
              <w:t>cd 05_Website_Angular/client &amp;&amp; npm start</w:t>
            </w:r>
          </w:p>
        </w:tc>
      </w:tr>
    </w:tbl>
    <w:p>
      <w:r>
        <w:t xml:space="preserve">Watch the server output at step 3. In development it starts even when the database is unreachable, printing a warning first — so "listening" alone does not mean the database is connected. The absence of the migration error is the real signal.</w:t>
      </w:r>
    </w:p>
    <w:p>
      <w:pPr>
        <w:pStyle w:val="Heading2"/>
      </w:pPr>
      <w:r>
        <w:t xml:space="preserve">Running the tests</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cd 05_Website_Angular/server</w:t>
            </w:r>
          </w:p>
          <w:p>
            <w:pPr>
              <w:spacing w:after="20" w:line="260"/>
            </w:pPr>
            <w:r>
              <w:rPr>
                <w:rFonts w:ascii="Consolas" w:cs="Consolas" w:eastAsia="Consolas" w:hAnsi="Consolas"/>
                <w:sz w:val="18"/>
                <w:szCs w:val="18"/>
              </w:rPr>
              <w:t xml:space="preserve">npm run test:all</w:t>
            </w:r>
          </w:p>
        </w:tc>
      </w:tr>
    </w:tbl>
    <w:p>
      <w:r>
        <w:t xml:space="preserve">The database-backed suites need a local PostgreSQL; the engine suite runs anywhere.</w:t>
      </w:r>
    </w:p>
    <w:p>
      <w:r>
        <w:br w:type="page"/>
      </w:r>
    </w:p>
    <w:p>
      <w:pPr>
        <w:pStyle w:val="Heading1"/>
      </w:pPr>
      <w:r>
        <w:t xml:space="preserve">9 · Deployment, honestly</w:t>
      </w:r>
    </w:p>
    <w:p>
      <w:r>
        <w:t>The public site is hosted on Vercel, which serves files and does not run our server. So it deploys the demo build: it works completely, in the browser, with no database behind it.</w:t>
      </w:r>
    </w:p>
    <w:p>
      <w:r>
        <w:t xml:space="preserve">Putting the full system online needs the server running somewhere that executes Node — Render, Railway, Fly.io — pointed at the database, with the front end built to call it. That is a real piece of work, not a setting: the content security policy has to allow the API's origin, four production settings have to change, and uploaded files need somewhere durable to live, because free hosting tiers wipe local disk on every restart.</w:t>
      </w:r>
    </w:p>
    <w:p>
      <w:r>
        <w:t xml:space="preserve">For the defense, running the full system locally is both sufficient and more convincing — the panel can watch a row appear in the database as an application is submitted.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Codebase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2026-08-13T08:00:22.063Z</dcterms:created>
  <dcterms:modified xsi:type="dcterms:W3CDTF">2026-08-13T08:00:22.063Z</dcterms:modified>
</cp:coreProperties>
</file>

<file path=docProps/custom.xml><?xml version="1.0" encoding="utf-8"?>
<Properties xmlns="http://schemas.openxmlformats.org/officeDocument/2006/custom-properties" xmlns:vt="http://schemas.openxmlformats.org/officeDocument/2006/docPropsVTypes"/>
</file>