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pPr>
        <w:pStyle w:val="Heading1"/>
      </w:pPr>
      <w:r>
        <w:t>What changed since the 22 August pack</w:t>
      </w:r>
    </w:p>
    <w:p>
      <w:pPr>
        <w:spacing w:after="260"/>
        <w:ind w:left="900" w:right="900"/>
        <w:jc w:val="center"/>
      </w:pPr>
      <w:r>
        <w:rPr>
          <w:sz w:val="20"/>
          <w:szCs w:val="20"/>
        </w:rPr>
        <w:t>Four changes were made after that pack was built. Each is listed with what a panelist would see, because a reviewer reading an older copy will otherwise describe the site as it no longer is.</w:t>
      </w:r>
    </w:p>
    <w:p>
      <w:pPr>
        <w:spacing w:after="260"/>
        <w:ind w:left="900" w:right="900"/>
        <w:jc w:val="center"/>
      </w:pPr>
      <w:r>
        <w:rPr>
          <w:sz w:val="20"/>
          <w:szCs w:val="20"/>
        </w:rPr>
        <w:t>1 · Reading a curriculum vitae. A five-page academic CV was uploaded to the live site and read badly: the holder of a doctorate and thirteen years of university teaching came out with NO education at all, the job title from the second line returned as her name, and three professional-society memberships counted as employment. Six faults were found in the rule-based reader and repaired. On a representative entry-level IT opening the same document moves from 63 to 88, and the whole of that 25-point difference is the education component, which had been scoring zero against a posting asking for a bachelor’s degree. The exact figure depends on the opening, because a score is always against one posting: on an administrative opening the same document moves from 50 to 75, the same 25 points. The faults are worth knowing because they are the honest answer to "how well does your reader actually work": a wrapped sentence ending in the word "employment." was treated as a section heading, so the real career history above it was discarded and three professional-society memberships below it were counted as jobs; the headings a CV uses ("CAREER DETAILS", "SKILLS MATRIX", "Education and Qualifications") were not recognised; a doctorate had no pattern at all and read as no education; a surname the PDF rendered as "SALENGA - MENDEZ" failed the name test, so the job title on the next line was returned as the applicant's name; and a long skills list pushed the only skills that can actually score past a thirty-item cap.</w:t>
      </w:r>
    </w:p>
    <w:p>
      <w:pPr>
        <w:spacing w:after="260"/>
        <w:ind w:left="900" w:right="900"/>
        <w:jc w:val="center"/>
      </w:pPr>
      <w:r>
        <w:rPr>
          <w:sz w:val="20"/>
          <w:szCs w:val="20"/>
        </w:rPr>
        <w:t>2 · First name and last name. Registration now asks for the two separately and the database stores them separately, on the advice of the research adviser. The display name is derived from the two by the database itself rather than stored a second time, so the two cannot drift apart. Accounts created before the change are divided on the last word of the stored name and can be corrected from the account page.</w:t>
      </w:r>
    </w:p>
    <w:p>
      <w:pPr>
        <w:spacing w:after="260"/>
        <w:ind w:left="900" w:right="900"/>
        <w:jc w:val="center"/>
      </w:pPr>
      <w:r>
        <w:rPr>
          <w:sz w:val="20"/>
          <w:szCs w:val="20"/>
        </w:rPr>
        <w:t>3 · The logo. Clicking the Linaw PH logo now goes to the signed-in account's own dashboard rather than the public home page. Signed out it still goes to the home page. The reason to expect the question: for someone with an account the home page is a page about signing up, and on a phone — where the navigation collapses into a menu — the logo is the only always-visible way back.</w:t>
      </w:r>
    </w:p>
    <w:p>
      <w:pPr>
        <w:spacing w:after="260"/>
        <w:ind w:left="900" w:right="900"/>
        <w:jc w:val="center"/>
      </w:pPr>
      <w:r>
        <w:rPr>
          <w:sz w:val="20"/>
          <w:szCs w:val="20"/>
        </w:rPr>
        <w:t>4 · The test count. There are now 222 automated tests in ten suites, all passing. The older pack says 160 in six; that figure was correct when it was written and counted six of the ten suites. The current split is 51 on the matching engine, 53 driving the real server over HTTP, 45 on the document reader, 13 on browser-versus-server agreement, 10 on email, 10 on extraction, 10 on file storage and 6 on the mail transport.</w:t>
      </w:r>
    </w:p>
    <w:p>
      <w:r>
        <w:br w:type="page"/>
      </w:r>
    </w:p>
    <w:p>
      <w:pPr>
        <w:pStyle w:val="Heading1"/>
      </w:pPr>
      <w:r>
        <w:t>There is a simpler companion to this</w:t>
      </w:r>
    </w:p>
    <w:p>
      <w:pPr>
        <w:spacing w:after="260"/>
        <w:ind w:left="900" w:right="900"/>
        <w:jc w:val="center"/>
      </w:pPr>
      <w:r>
        <w:rPr>
          <w:sz w:val="20"/>
          <w:szCs w:val="20"/>
        </w:rPr>
        <w:t>Linaw-PH-Explained-Simply.docx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Linaw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a course, or the file they uploaded.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222</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