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ResumeMatch PH</w:t>
      </w:r>
    </w:p>
    <w:p>
      <w:pPr>
        <w:spacing w:after="140"/>
        <w:jc w:val="center"/>
      </w:pPr>
      <w:r>
        <w:rPr>
          <w:b/>
          <w:bCs/>
          <w:color w:val="3D4A5C"/>
          <w:sz w:val="46"/>
          <w:szCs w:val="46"/>
        </w:rPr>
        <w:t>Appendix B and Appendix C</w:t>
      </w:r>
    </w:p>
    <w:p>
      <w:pPr>
        <w:spacing w:after="700"/>
        <w:jc w:val="center"/>
      </w:pPr>
      <w:r>
        <w:rPr>
          <w:i/>
          <w:iCs/>
          <w:color w:val="3D4A5C"/>
          <w:sz w:val="24"/>
          <w:szCs w:val="24"/>
        </w:rPr>
        <w:t>Consent form · Task sheets</w:t>
      </w:r>
    </w:p>
    <w:p>
      <w:pPr>
        <w:spacing w:after="260"/>
        <w:ind w:left="900" w:right="900"/>
        <w:jc w:val="center"/>
      </w:pPr>
      <w:r>
        <w:rPr>
          <w:sz w:val="20"/>
          <w:szCs w:val="20"/>
        </w:rPr>
        <w:t>The two appendices the instruments refer to and that did not exist. Appendix B is the consent form that must be the first section of every Google Form. Appendix C is the pair of task sheets a respondent works through before answering Instrument C or Instrument D. Both are drafts to be reviewed by your adviser before use.</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Before you use these</w:t>
      </w:r>
    </w:p>
    <w:p>
      <w:pPr>
        <w:pStyle w:val="ListParagraph"/>
        <w:numPr>
          <w:ilvl w:val="0"/>
          <w:numId w:val="2"/>
        </w:numPr>
        <w:spacing w:after="70"/>
      </w:pPr>
      <w:r>
        <w:t>Your adviser must review both before anything is sent to a respondent. The consent form in particular is an ethics document, not a formality.</w:t>
      </w:r>
    </w:p>
    <w:p>
      <w:pPr>
        <w:pStyle w:val="ListParagraph"/>
        <w:numPr>
          <w:ilvl w:val="0"/>
          <w:numId w:val="2"/>
        </w:numPr>
        <w:spacing w:after="70"/>
      </w:pPr>
      <w:r>
        <w:t>Text in [SQUARE BRACKETS] must be filled in by you. Do not send a form with a bracket still in it.</w:t>
      </w:r>
    </w:p>
    <w:p>
      <w:pPr>
        <w:pStyle w:val="ListParagraph"/>
        <w:numPr>
          <w:ilvl w:val="0"/>
          <w:numId w:val="2"/>
        </w:numPr>
        <w:spacing w:after="70"/>
      </w:pPr>
      <w:r>
        <w:t>Decide which build the sessions run on. The paper evaluates the API build — the one with the server and the real database. The public demo link keeps everything in the visitor’s browser, and the security and privacy statements in your paper are not true of it.</w:t>
      </w:r>
    </w:p>
    <w:p>
      <w:pPr>
        <w:pStyle w:val="ListParagraph"/>
        <w:numPr>
          <w:ilvl w:val="0"/>
          <w:numId w:val="2"/>
        </w:numPr>
        <w:spacing w:after="70"/>
      </w:pPr>
      <w:r>
        <w:t>If the Gemini reader is switched on, the paragraph about Google in Appendix B is required, not optional. If it is switched off, delete that paragraph — do not leave a consent statement describing something that will not happen.</w:t>
      </w:r>
    </w:p>
    <w:p>
      <w:pPr>
        <w:pStyle w:val="Heading1"/>
      </w:pPr>
      <w:r>
        <w:t>Appendix B · Informed consent</w:t>
      </w:r>
    </w:p>
    <w:p>
      <w:pPr>
        <w:spacing w:after="260"/>
        <w:ind w:left="900" w:right="900"/>
        <w:jc w:val="center"/>
      </w:pPr>
      <w:r>
        <w:rPr>
          <w:sz w:val="20"/>
          <w:szCs w:val="20"/>
        </w:rPr>
        <w:t>Paste this as the first section of every Google Form, before any question is visible. The respondent cannot proceed without ticking the final item.</w:t>
      </w:r>
    </w:p>
    <w:p>
      <w:pPr>
        <w:pStyle w:val="Heading2"/>
      </w:pPr>
      <w:r>
        <w:t>What this study is about</w:t>
      </w:r>
    </w:p>
    <w:p>
      <w:pPr>
        <w:spacing w:after="260"/>
        <w:ind w:left="900" w:right="900"/>
        <w:jc w:val="center"/>
      </w:pPr>
      <w:r>
        <w:rPr>
          <w:sz w:val="20"/>
          <w:szCs w:val="20"/>
        </w:rPr>
        <w:t>We are three Information Technology students at Holy Angel University. We built a website that helps job seekers write a resume and shows them how well it matches a job opening, and we are studying whether showing people that score — and explaining how it was worked out — is useful to them.</w:t>
      </w:r>
    </w:p>
    <w:p>
      <w:pPr>
        <w:spacing w:after="260"/>
        <w:ind w:left="900" w:right="900"/>
        <w:jc w:val="center"/>
      </w:pPr>
      <w:r>
        <w:rPr>
          <w:sz w:val="20"/>
          <w:szCs w:val="20"/>
        </w:rPr>
        <w:t>You are being invited because you are either preparing to apply for work, or you screen applicants as part of your job.</w:t>
      </w:r>
    </w:p>
    <w:p>
      <w:pPr>
        <w:pStyle w:val="Heading2"/>
      </w:pPr>
      <w:r>
        <w:t>What you will be asked to do</w:t>
      </w:r>
    </w:p>
    <w:p>
      <w:pPr>
        <w:spacing w:after="260"/>
        <w:ind w:left="900" w:right="900"/>
        <w:jc w:val="center"/>
      </w:pPr>
      <w:r>
        <w:rPr>
          <w:sz w:val="20"/>
          <w:szCs w:val="20"/>
        </w:rPr>
        <w:t>You will answer one questionnaire before using the system and one after. Between them you will work through a short list of tasks on the website. Answering takes about [15] minutes each time, and the tasks take about [30] minutes. You do not need any preparation and you do not need to be good with computers.</w:t>
      </w:r>
    </w:p>
    <w:p>
      <w:pPr>
        <w:pStyle w:val="Heading2"/>
      </w:pPr>
      <w:r>
        <w:t>What we collect, and what we do not</w:t>
      </w:r>
    </w:p>
    <w:p>
      <w:pPr>
        <w:pStyle w:val="ListParagraph"/>
        <w:numPr>
          <w:ilvl w:val="0"/>
          <w:numId w:val="2"/>
        </w:numPr>
        <w:spacing w:after="70"/>
      </w:pPr>
      <w:r>
        <w:t>Your answers to the questionnaires.</w:t>
      </w:r>
    </w:p>
    <w:p>
      <w:pPr>
        <w:pStyle w:val="ListParagraph"/>
        <w:numPr>
          <w:ilvl w:val="0"/>
          <w:numId w:val="2"/>
        </w:numPr>
        <w:spacing w:after="70"/>
      </w:pPr>
      <w:r>
        <w:t>Whatever you type into the website during the tasks — a practice resume, and an application to a practice job opening.</w:t>
      </w:r>
    </w:p>
    <w:p>
      <w:pPr>
        <w:pStyle w:val="ListParagraph"/>
        <w:numPr>
          <w:ilvl w:val="0"/>
          <w:numId w:val="2"/>
        </w:numPr>
        <w:spacing w:after="70"/>
      </w:pPr>
      <w:r>
        <w:t>We do NOT collect your name, your student number, or your real contact details. Please use the practice details given on the task sheet rather than your own.</w:t>
      </w:r>
    </w:p>
    <w:p>
      <w:pPr>
        <w:pStyle w:val="Heading2"/>
      </w:pPr>
      <w:r>
        <w:t>Your respondent code</w:t>
      </w:r>
    </w:p>
    <w:p>
      <w:pPr>
        <w:spacing w:after="260"/>
        <w:ind w:left="900" w:right="900"/>
        <w:jc w:val="center"/>
      </w:pPr>
      <w:r>
        <w:rPr>
          <w:sz w:val="20"/>
          <w:szCs w:val="20"/>
        </w:rPr>
        <w:t>You will make a short code and use the same one on both questionnaires. It lets us compare your first answers with your second answers without knowing who you are. We keep no list matching codes to people, so once you have given your answers we cannot tell which are yours.</w:t>
      </w:r>
    </w:p>
    <w:p>
      <w:pPr>
        <w:spacing w:after="260"/>
        <w:ind w:left="900" w:right="900"/>
        <w:jc w:val="center"/>
      </w:pPr>
      <w:r>
        <w:rPr>
          <w:sz w:val="20"/>
          <w:szCs w:val="20"/>
        </w:rPr>
        <w:t>One consequence you should know: because we cannot identify your answers, we cannot delete them individually once you have submitted. You can stop at any point BEFORE submitting.</w:t>
      </w:r>
    </w:p>
    <w:p>
      <w:pPr>
        <w:pStyle w:val="Heading2"/>
      </w:pPr>
      <w:r>
        <w:t>Taking part is your choice</w:t>
      </w:r>
    </w:p>
    <w:p>
      <w:pPr>
        <w:pStyle w:val="ListParagraph"/>
        <w:numPr>
          <w:ilvl w:val="0"/>
          <w:numId w:val="2"/>
        </w:numPr>
        <w:spacing w:after="70"/>
      </w:pPr>
      <w:r>
        <w:t>You do not have to take part, and you can stop at any time without giving a reason.</w:t>
      </w:r>
    </w:p>
    <w:p>
      <w:pPr>
        <w:pStyle w:val="ListParagraph"/>
        <w:numPr>
          <w:ilvl w:val="0"/>
          <w:numId w:val="2"/>
        </w:numPr>
        <w:spacing w:after="70"/>
      </w:pPr>
      <w:r>
        <w:t>Nothing about this affects your grades, your standing at the university, or your employment.</w:t>
      </w:r>
    </w:p>
    <w:p>
      <w:pPr>
        <w:pStyle w:val="ListParagraph"/>
        <w:numPr>
          <w:ilvl w:val="0"/>
          <w:numId w:val="2"/>
        </w:numPr>
        <w:spacing w:after="70"/>
      </w:pPr>
      <w:r>
        <w:t>There is no payment for taking part.</w:t>
      </w:r>
    </w:p>
    <w:p>
      <w:pPr>
        <w:pStyle w:val="Heading2"/>
      </w:pPr>
      <w:r>
        <w:t>Is there any risk</w:t>
      </w:r>
    </w:p>
    <w:p>
      <w:pPr>
        <w:spacing w:after="260"/>
        <w:ind w:left="900" w:right="900"/>
        <w:jc w:val="center"/>
      </w:pPr>
      <w:r>
        <w:rPr>
          <w:sz w:val="20"/>
          <w:szCs w:val="20"/>
        </w:rPr>
        <w:t>We do not expect any risk beyond the time it takes. Some questions ask how confident you feel about applying for work, which a few people find uncomfortable to think about. You may skip any question you would rather not answer.</w:t>
      </w:r>
    </w:p>
    <w:p>
      <w:pPr>
        <w:pStyle w:val="Heading2"/>
      </w:pPr>
      <w:r>
        <w:t>Where your answers go</w:t>
      </w:r>
    </w:p>
    <w:p>
      <w:pPr>
        <w:spacing w:after="260"/>
        <w:ind w:left="900" w:right="900"/>
        <w:jc w:val="center"/>
      </w:pPr>
      <w:r>
        <w:rPr>
          <w:sz w:val="20"/>
          <w:szCs w:val="20"/>
        </w:rPr>
        <w:t>Answers are collected through Google Forms and stored in a Google account controlled by the research team. Only the three researchers and our adviser see the individual responses. The paper reports totals and averages only, never one person’s answers. Everything is deleted by [DATE — agree this with your adviser; commonly one year after the study is approved].</w:t>
      </w:r>
    </w:p>
    <w:p>
      <w:pPr>
        <w:pStyle w:val="Heading2"/>
      </w:pPr>
      <w:r>
        <w:t>If the document reader is switched on</w:t>
      </w:r>
    </w:p>
    <w:p>
      <w:pPr>
        <w:spacing w:after="260"/>
        <w:ind w:left="900" w:right="900"/>
        <w:jc w:val="center"/>
      </w:pPr>
      <w:r>
        <w:rPr>
          <w:sz w:val="20"/>
          <w:szCs w:val="20"/>
        </w:rPr>
        <w:t>The website has an optional feature that reads an uploaded resume file and fills in the form for you. If you use it, your document is sent to Google’s Gemini service for reading. Google is a company outside the Philippines. You do not have to use that feature — you can type your practice resume in by hand instead, and the tasks work either way.</w:t>
      </w:r>
    </w:p>
    <w:p>
      <w:pPr>
        <w:pStyle w:val="Heading2"/>
      </w:pPr>
      <w:r>
        <w:t>Your rights over your data</w:t>
      </w:r>
    </w:p>
    <w:p>
      <w:pPr>
        <w:spacing w:after="260"/>
        <w:ind w:left="900" w:right="900"/>
        <w:jc w:val="center"/>
      </w:pPr>
      <w:r>
        <w:rPr>
          <w:sz w:val="20"/>
          <w:szCs w:val="20"/>
        </w:rPr>
        <w:t>This study follows Republic Act 10173, the Data Privacy Act of 2012. You have the right to know what is collected, to ask how it is stored, and to withdraw before you submit. Because responses are anonymous, we cannot retrieve or delete an individual response after submission.</w:t>
      </w:r>
    </w:p>
    <w:p>
      <w:pPr>
        <w:pStyle w:val="Heading2"/>
      </w:pPr>
      <w:r>
        <w:t>Who to contact</w:t>
      </w:r>
    </w:p>
    <w:p>
      <w:pPr>
        <w:spacing w:after="260"/>
        <w:ind w:left="900" w:right="900"/>
        <w:jc w:val="center"/>
      </w:pPr>
      <w:r>
        <w:rPr>
          <w:sz w:val="20"/>
          <w:szCs w:val="20"/>
        </w:rPr>
        <w:t>Researchers: [NAMES]  ·  [EMAIL ADDRESS]</w:t>
      </w:r>
    </w:p>
    <w:p>
      <w:pPr>
        <w:spacing w:after="260"/>
        <w:ind w:left="900" w:right="900"/>
        <w:jc w:val="center"/>
      </w:pPr>
      <w:r>
        <w:rPr>
          <w:sz w:val="20"/>
          <w:szCs w:val="20"/>
        </w:rPr>
        <w:t>Adviser: [NAME]  ·  [EMAIL ADDRESS]  ·  School of Computing, Holy Angel University</w:t>
      </w:r>
    </w:p>
    <w:p>
      <w:pPr>
        <w:pStyle w:val="Heading2"/>
      </w:pPr>
      <w:r>
        <w:t>Your consent</w:t>
      </w:r>
    </w:p>
    <w:p>
      <w:pPr>
        <w:spacing w:after="260"/>
        <w:ind w:left="900" w:right="900"/>
        <w:jc w:val="center"/>
      </w:pPr>
      <w:r>
        <w:rPr>
          <w:sz w:val="20"/>
          <w:szCs w:val="20"/>
        </w:rPr>
        <w:t>Tick every box to continue. If you do not want to take part, simply close this form.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  I have read and understood what this study is about.</w:t>
            </w:r>
          </w:p>
          <w:p>
            <w:pPr>
              <w:spacing w:after="20" w:line="260"/>
            </w:pPr>
            <w:r>
              <w:rPr>
                <w:rFonts w:ascii="Consolas" w:cs="Consolas" w:eastAsia="Consolas" w:hAnsi="Consolas"/>
                <w:sz w:val="18"/>
                <w:szCs w:val="18"/>
              </w:rPr>
              <w:t>[ ]  I understand that taking part is voluntary and that I may stop at any time</w:t>
            </w:r>
          </w:p>
          <w:p>
            <w:pPr>
              <w:spacing w:after="20" w:line="260"/>
            </w:pPr>
            <w:r>
              <w:rPr>
                <w:rFonts w:ascii="Consolas" w:cs="Consolas" w:eastAsia="Consolas" w:hAnsi="Consolas"/>
                <w:sz w:val="18"/>
                <w:szCs w:val="18"/>
              </w:rPr>
              <w:t xml:space="preserve">     before submitting.</w:t>
            </w:r>
          </w:p>
          <w:p>
            <w:pPr>
              <w:spacing w:after="20" w:line="260"/>
            </w:pPr>
            <w:r>
              <w:rPr>
                <w:rFonts w:ascii="Consolas" w:cs="Consolas" w:eastAsia="Consolas" w:hAnsi="Consolas"/>
                <w:sz w:val="18"/>
                <w:szCs w:val="18"/>
              </w:rPr>
              <w:t>[ ]  I understand that my answers are anonymous and cannot be traced back</w:t>
            </w:r>
          </w:p>
          <w:p>
            <w:pPr>
              <w:spacing w:after="20" w:line="260"/>
            </w:pPr>
            <w:r>
              <w:rPr>
                <w:rFonts w:ascii="Consolas" w:cs="Consolas" w:eastAsia="Consolas" w:hAnsi="Consolas"/>
                <w:sz w:val="18"/>
                <w:szCs w:val="18"/>
              </w:rPr>
              <w:t xml:space="preserve">     to me, and that they cannot be deleted individually after I submit.</w:t>
            </w:r>
          </w:p>
          <w:p>
            <w:pPr>
              <w:spacing w:after="20" w:line="260"/>
            </w:pPr>
            <w:r>
              <w:rPr>
                <w:rFonts w:ascii="Consolas" w:cs="Consolas" w:eastAsia="Consolas" w:hAnsi="Consolas"/>
                <w:sz w:val="18"/>
                <w:szCs w:val="18"/>
              </w:rPr>
              <w:t>[ ]  I am 18 years old or above.</w:t>
            </w:r>
          </w:p>
          <w:p>
            <w:pPr>
              <w:spacing w:after="20" w:line="260"/>
            </w:pPr>
            <w:r>
              <w:rPr>
                <w:rFonts w:ascii="Consolas" w:cs="Consolas" w:eastAsia="Consolas" w:hAnsi="Consolas"/>
                <w:sz w:val="18"/>
                <w:szCs w:val="18"/>
              </w:rPr>
              <w:t>[ ]  I agree to take part in this study.</w:t>
            </w:r>
          </w:p>
        </w:tc>
      </w:tr>
    </w:tbl>
    <w:p>
      <w:pPr>
        <w:spacing w:after="260"/>
        <w:ind w:left="900" w:right="900"/>
        <w:jc w:val="center"/>
      </w:pPr>
      <w:r>
        <w:rPr>
          <w:sz w:val="20"/>
          <w:szCs w:val="20"/>
        </w:rPr>
        <w:t>If any respondent may be under 18, your adviser must be asked about parental consent BEFORE any form is sent. Do not decide this yourselves.</w:t>
      </w:r>
    </w:p>
    <w:p>
      <w:pPr>
        <w:pStyle w:val="Heading2"/>
      </w:pPr>
      <w:r>
        <w:t>Your respondent code</w:t>
      </w:r>
    </w:p>
    <w:p>
      <w:pPr>
        <w:spacing w:after="260"/>
        <w:ind w:left="900" w:right="900"/>
        <w:jc w:val="center"/>
      </w:pPr>
      <w:r>
        <w:rPr>
          <w:sz w:val="20"/>
          <w:szCs w:val="20"/>
        </w:rPr>
        <w:t>Make your code from things you will still remember in three weeks: the first two letters of your mother’s first name, then the day of the month you were born, as two digits. Someone whose mother is Maria and who was born on the 7th writes MA07.</w:t>
      </w:r>
    </w:p>
    <w:p>
      <w:pPr>
        <w:spacing w:after="260"/>
        <w:ind w:left="900" w:right="900"/>
        <w:jc w:val="center"/>
      </w:pPr>
      <w:r>
        <w:rPr>
          <w:sz w:val="20"/>
          <w:szCs w:val="20"/>
        </w:rPr>
        <w:t>Write it in the box below, and use exactly the same code on the second questionnaire. If the codes do not match, your answers cannot be paired and cannot be used.</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Your respondent code:  ______________</w:t>
            </w:r>
          </w:p>
        </w:tc>
      </w:tr>
    </w:tbl>
    <w:p>
      <w:pPr>
        <w:pStyle w:val="Heading1"/>
      </w:pPr>
      <w:r>
        <w:t>Appendix C · Task sheets</w:t>
      </w:r>
    </w:p>
    <w:p>
      <w:pPr>
        <w:spacing w:after="260"/>
        <w:ind w:left="900" w:right="900"/>
        <w:jc w:val="center"/>
      </w:pPr>
      <w:r>
        <w:rPr>
          <w:sz w:val="20"/>
          <w:szCs w:val="20"/>
        </w:rPr>
        <w:t>A respondent works through the task sheet for their group, then answers the questionnaire. The tasks exist so that every respondent has done the same things before they are asked about them — an "after" answer means nothing if one person built a resume and another only looked at the home page.</w:t>
      </w:r>
    </w:p>
    <w:p>
      <w:pPr>
        <w:pStyle w:val="Heading2"/>
      </w:pPr>
      <w:r>
        <w:t>Rules for whoever runs the session</w:t>
      </w:r>
    </w:p>
    <w:p>
      <w:pPr>
        <w:pStyle w:val="ListParagraph"/>
        <w:numPr>
          <w:ilvl w:val="0"/>
          <w:numId w:val="2"/>
        </w:numPr>
        <w:spacing w:after="70"/>
      </w:pPr>
      <w:r>
        <w:t>Do not demonstrate the system, and do not sit beside the respondent while they work. Hand over the sheet and step away. Watching changes what people do and what they later say about it.</w:t>
      </w:r>
    </w:p>
    <w:p>
      <w:pPr>
        <w:pStyle w:val="ListParagraph"/>
        <w:numPr>
          <w:ilvl w:val="0"/>
          <w:numId w:val="2"/>
        </w:numPr>
        <w:spacing w:after="70"/>
      </w:pPr>
      <w:r>
        <w:t>Stay reachable for technical failures only — the site not loading, a password not arriving. If asked how to do a task, say the sheet is all they get, and note the question down. A task people cannot complete unaided is a usability finding, not a problem to fix on the spot.</w:t>
      </w:r>
    </w:p>
    <w:p>
      <w:pPr>
        <w:pStyle w:val="ListParagraph"/>
        <w:numPr>
          <w:ilvl w:val="0"/>
          <w:numId w:val="2"/>
        </w:numPr>
        <w:spacing w:after="70"/>
      </w:pPr>
      <w:r>
        <w:t>Note the time each respondent starts and finishes. You do not need to report it, but a task sheet that takes an hour tells you something before the questionnaire does.</w:t>
      </w:r>
    </w:p>
    <w:p>
      <w:pPr>
        <w:pStyle w:val="ListParagraph"/>
        <w:numPr>
          <w:ilvl w:val="0"/>
          <w:numId w:val="2"/>
        </w:numPr>
        <w:spacing w:after="70"/>
      </w:pPr>
      <w:r>
        <w:t>If a respondent gives up on a task, that is data. Let them move to the next one and answer the questionnaire anyway.</w:t>
      </w:r>
    </w:p>
    <w:p>
      <w:pPr>
        <w:pStyle w:val="Heading2"/>
      </w:pPr>
      <w:r>
        <w:t>Task Sheet 1 — Job seekers</w:t>
      </w:r>
    </w:p>
    <w:p>
      <w:pPr>
        <w:spacing w:after="260"/>
        <w:ind w:left="900" w:right="900"/>
        <w:jc w:val="center"/>
      </w:pPr>
      <w:r>
        <w:rPr>
          <w:sz w:val="20"/>
          <w:szCs w:val="20"/>
        </w:rPr>
        <w:t>Before Instrument C. About 30 minutes. Work through these in order. If something does not work, move on to the next one — an unfinished task is a normal result and you will not be marked on it.</w:t>
      </w:r>
    </w:p>
    <w:p>
      <w:pPr>
        <w:spacing w:after="260"/>
        <w:ind w:left="900" w:right="900"/>
        <w:jc w:val="center"/>
      </w:pPr>
      <w:r>
        <w:rPr>
          <w:sz w:val="20"/>
          <w:szCs w:val="20"/>
        </w:rPr>
        <w:t>Use the practice details below rather than your own name and contact details.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Practice details — use these, not your own</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Name        Practice Applicant [YOUR RESPONDENT CODE]</w:t>
            </w:r>
          </w:p>
          <w:p>
            <w:pPr>
              <w:spacing w:after="20" w:line="260"/>
            </w:pPr>
            <w:r>
              <w:rPr>
                <w:rFonts w:ascii="Consolas" w:cs="Consolas" w:eastAsia="Consolas" w:hAnsi="Consolas"/>
                <w:sz w:val="18"/>
                <w:szCs w:val="18"/>
              </w:rPr>
              <w:t xml:space="preserve">  Email       practice@example.ph</w:t>
            </w:r>
          </w:p>
          <w:p>
            <w:pPr>
              <w:spacing w:after="20" w:line="260"/>
            </w:pPr>
            <w:r>
              <w:rPr>
                <w:rFonts w:ascii="Consolas" w:cs="Consolas" w:eastAsia="Consolas" w:hAnsi="Consolas"/>
                <w:sz w:val="18"/>
                <w:szCs w:val="18"/>
              </w:rPr>
              <w:t xml:space="preserve">  Phone       0917 000 0000</w:t>
            </w:r>
          </w:p>
          <w:p>
            <w:pPr>
              <w:spacing w:after="20" w:line="260"/>
            </w:pPr>
            <w:r>
              <w:rPr>
                <w:rFonts w:ascii="Consolas" w:cs="Consolas" w:eastAsia="Consolas" w:hAnsi="Consolas"/>
                <w:sz w:val="18"/>
                <w:szCs w:val="18"/>
              </w:rPr>
              <w:t xml:space="preserve">  Address     Angeles City, Pampanga</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Website address:  [FILL IN]</w:t>
            </w:r>
          </w:p>
        </w:tc>
      </w:tr>
    </w:tbl>
    <w:p>
      <w:pPr>
        <w:pStyle w:val="Heading3"/>
      </w:pPr>
      <w:r>
        <w:t>1 · Make an account</w:t>
      </w:r>
    </w:p>
    <w:p>
      <w:pPr>
        <w:pStyle w:val="ListParagraph"/>
        <w:numPr>
          <w:ilvl w:val="0"/>
          <w:numId w:val="2"/>
        </w:numPr>
        <w:spacing w:after="70"/>
      </w:pPr>
      <w:r>
        <w:t>Open the website and register. Use the practice email above, or your own if the system needs to send you a code — you will not be identified by it.</w:t>
      </w:r>
    </w:p>
    <w:p>
      <w:pPr>
        <w:pStyle w:val="ListParagraph"/>
        <w:numPr>
          <w:ilvl w:val="0"/>
          <w:numId w:val="2"/>
        </w:numPr>
        <w:spacing w:after="70"/>
      </w:pPr>
      <w:r>
        <w:t>If a 6-digit code is needed, it is emailed to you. Enter it to finish.</w:t>
      </w:r>
    </w:p>
    <w:p>
      <w:pPr>
        <w:pStyle w:val="Heading3"/>
      </w:pPr>
      <w:r>
        <w:t>2 · Build a resume</w:t>
      </w:r>
    </w:p>
    <w:p>
      <w:pPr>
        <w:pStyle w:val="ListParagraph"/>
        <w:numPr>
          <w:ilvl w:val="0"/>
          <w:numId w:val="2"/>
        </w:numPr>
        <w:spacing w:after="70"/>
      </w:pPr>
      <w:r>
        <w:t>Start a new resume and work through the seven steps.</w:t>
      </w:r>
    </w:p>
    <w:p>
      <w:pPr>
        <w:pStyle w:val="ListParagraph"/>
        <w:numPr>
          <w:ilvl w:val="0"/>
          <w:numId w:val="2"/>
        </w:numPr>
        <w:spacing w:after="70"/>
      </w:pPr>
      <w:r>
        <w:t>Fill in your education honestly — use your real school and level, since nothing here identifies you.</w:t>
      </w:r>
    </w:p>
    <w:p>
      <w:pPr>
        <w:pStyle w:val="ListParagraph"/>
        <w:numPr>
          <w:ilvl w:val="0"/>
          <w:numId w:val="2"/>
        </w:numPr>
        <w:spacing w:after="70"/>
      </w:pPr>
      <w:r>
        <w:t>Add at least one work experience, OJT, or project. If you have none, add a school project.</w:t>
      </w:r>
    </w:p>
    <w:p>
      <w:pPr>
        <w:pStyle w:val="ListParagraph"/>
        <w:numPr>
          <w:ilvl w:val="0"/>
          <w:numId w:val="2"/>
        </w:numPr>
        <w:spacing w:after="70"/>
      </w:pPr>
      <w:r>
        <w:t>At the Skills step, add at least four skills you actually have.</w:t>
      </w:r>
    </w:p>
    <w:p>
      <w:pPr>
        <w:pStyle w:val="ListParagraph"/>
        <w:numPr>
          <w:ilvl w:val="0"/>
          <w:numId w:val="2"/>
        </w:numPr>
        <w:spacing w:after="70"/>
      </w:pPr>
      <w:r>
        <w:t>For each skill, use the box that asks where you used it, and pick one of your own entries. Leave at least one skill without a source so you can see what happens.</w:t>
      </w:r>
    </w:p>
    <w:p>
      <w:pPr>
        <w:pStyle w:val="ListParagraph"/>
        <w:numPr>
          <w:ilvl w:val="0"/>
          <w:numId w:val="2"/>
        </w:numPr>
        <w:spacing w:after="70"/>
      </w:pPr>
      <w:r>
        <w:t>Choose a design you like, then save.</w:t>
      </w:r>
    </w:p>
    <w:p>
      <w:pPr>
        <w:pStyle w:val="Heading3"/>
      </w:pPr>
      <w:r>
        <w:t>3 · Look at what you made</w:t>
      </w:r>
    </w:p>
    <w:p>
      <w:pPr>
        <w:pStyle w:val="ListParagraph"/>
        <w:numPr>
          <w:ilvl w:val="0"/>
          <w:numId w:val="2"/>
        </w:numPr>
        <w:spacing w:after="70"/>
      </w:pPr>
      <w:r>
        <w:t>Open the print or export view and look at the finished resume.</w:t>
      </w:r>
    </w:p>
    <w:p>
      <w:pPr>
        <w:pStyle w:val="ListParagraph"/>
        <w:numPr>
          <w:ilvl w:val="0"/>
          <w:numId w:val="2"/>
        </w:numPr>
        <w:spacing w:after="70"/>
      </w:pPr>
      <w:r>
        <w:t>Notice whether the place you said you used each skill appears on it.</w:t>
      </w:r>
    </w:p>
    <w:p>
      <w:pPr>
        <w:pStyle w:val="Heading3"/>
      </w:pPr>
      <w:r>
        <w:t>4 · Look at the job openings</w:t>
      </w:r>
    </w:p>
    <w:p>
      <w:pPr>
        <w:pStyle w:val="ListParagraph"/>
        <w:numPr>
          <w:ilvl w:val="0"/>
          <w:numId w:val="2"/>
        </w:numPr>
        <w:spacing w:after="70"/>
      </w:pPr>
      <w:r>
        <w:t>Open the list of job openings. Each one shows a score for your resume.</w:t>
      </w:r>
    </w:p>
    <w:p>
      <w:pPr>
        <w:pStyle w:val="ListParagraph"/>
        <w:numPr>
          <w:ilvl w:val="0"/>
          <w:numId w:val="2"/>
        </w:numPr>
        <w:spacing w:after="70"/>
      </w:pPr>
      <w:r>
        <w:t>Open one opening and read the breakdown — the part that explains how the score was worked out.</w:t>
      </w:r>
    </w:p>
    <w:p>
      <w:pPr>
        <w:pStyle w:val="ListParagraph"/>
        <w:numPr>
          <w:ilvl w:val="0"/>
          <w:numId w:val="2"/>
        </w:numPr>
        <w:spacing w:after="70"/>
      </w:pPr>
      <w:r>
        <w:t>Find where it tells you about the requirements you have not met. Note what it does and does not tell you.</w:t>
      </w:r>
    </w:p>
    <w:p>
      <w:pPr>
        <w:pStyle w:val="Heading3"/>
      </w:pPr>
      <w:r>
        <w:t>5 · Apply</w:t>
      </w:r>
    </w:p>
    <w:p>
      <w:pPr>
        <w:pStyle w:val="ListParagraph"/>
        <w:numPr>
          <w:ilvl w:val="0"/>
          <w:numId w:val="2"/>
        </w:numPr>
        <w:spacing w:after="70"/>
      </w:pPr>
      <w:r>
        <w:t>Apply to one opening. Any one — a low score is fine and you are not being judged.</w:t>
      </w:r>
    </w:p>
    <w:p>
      <w:pPr>
        <w:pStyle w:val="ListParagraph"/>
        <w:numPr>
          <w:ilvl w:val="0"/>
          <w:numId w:val="2"/>
        </w:numPr>
        <w:spacing w:after="70"/>
      </w:pPr>
      <w:r>
        <w:t>Go to your dashboard and find the application you just made.</w:t>
      </w:r>
    </w:p>
    <w:p>
      <w:pPr>
        <w:pStyle w:val="ListParagraph"/>
        <w:numPr>
          <w:ilvl w:val="0"/>
          <w:numId w:val="2"/>
        </w:numPr>
        <w:spacing w:after="70"/>
      </w:pPr>
      <w:r>
        <w:t>Open its history and read what it shows.</w:t>
      </w:r>
    </w:p>
    <w:p>
      <w:pPr>
        <w:pStyle w:val="Heading3"/>
      </w:pPr>
      <w:r>
        <w:t>6 · Optional — the document reader</w:t>
      </w:r>
    </w:p>
    <w:p>
      <w:pPr>
        <w:spacing w:after="260"/>
        <w:ind w:left="900" w:right="900"/>
        <w:jc w:val="center"/>
      </w:pPr>
      <w:r>
        <w:rPr>
          <w:sz w:val="20"/>
          <w:szCs w:val="20"/>
        </w:rPr>
        <w:t>Only do this if you already have a resume file on the device you are using, and only if you are comfortable with what the consent form said about it. Upload it on the Upload page and see what the system reads out of it. You do not have to save the result. Skip this task entirely if you would rather not.</w:t>
      </w:r>
    </w:p>
    <w:p>
      <w:pPr>
        <w:pStyle w:val="Heading3"/>
      </w:pPr>
      <w:r>
        <w:t>When you are finished</w:t>
      </w:r>
    </w:p>
    <w:p>
      <w:pPr>
        <w:spacing w:after="260"/>
        <w:ind w:left="900" w:right="900"/>
        <w:jc w:val="center"/>
      </w:pPr>
      <w:r>
        <w:rPr>
          <w:sz w:val="20"/>
          <w:szCs w:val="20"/>
        </w:rPr>
        <w:t>Go back to the questionnaire link you were given and answer Instrument C. Use the SAME respondent code you used on the first questionnaire.</w:t>
      </w:r>
    </w:p>
    <w:p>
      <w:pPr>
        <w:pStyle w:val="Heading2"/>
      </w:pPr>
      <w:r>
        <w:t>Task Sheet 2 — HR and recruitment staff</w:t>
      </w:r>
    </w:p>
    <w:p>
      <w:pPr>
        <w:spacing w:after="260"/>
        <w:ind w:left="900" w:right="900"/>
        <w:jc w:val="center"/>
      </w:pPr>
      <w:r>
        <w:rPr>
          <w:sz w:val="20"/>
          <w:szCs w:val="20"/>
        </w:rPr>
        <w:t>Before Instrument D and Instrument E. About 30 minutes. You will be given a practice recruiter account — you do not need to register.</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Practice recruiter account</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Email       [FILL IN]</w:t>
            </w:r>
          </w:p>
          <w:p>
            <w:pPr>
              <w:spacing w:after="20" w:line="260"/>
            </w:pPr>
            <w:r>
              <w:rPr>
                <w:rFonts w:ascii="Consolas" w:cs="Consolas" w:eastAsia="Consolas" w:hAnsi="Consolas"/>
                <w:sz w:val="18"/>
                <w:szCs w:val="18"/>
              </w:rPr>
              <w:t xml:space="preserve">  Password    [FILL IN]</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Website address:  [FILL IN]</w:t>
            </w:r>
          </w:p>
        </w:tc>
      </w:tr>
    </w:tbl>
    <w:p>
      <w:pPr>
        <w:pStyle w:val="Heading3"/>
      </w:pPr>
      <w:r>
        <w:t>1 · Post an opening</w:t>
      </w:r>
    </w:p>
    <w:p>
      <w:pPr>
        <w:pStyle w:val="ListParagraph"/>
        <w:numPr>
          <w:ilvl w:val="0"/>
          <w:numId w:val="2"/>
        </w:numPr>
        <w:spacing w:after="70"/>
      </w:pPr>
      <w:r>
        <w:t>Sign in and post a job opening. Use a real role your department hires for, or something close to it.</w:t>
      </w:r>
    </w:p>
    <w:p>
      <w:pPr>
        <w:pStyle w:val="ListParagraph"/>
        <w:numPr>
          <w:ilvl w:val="0"/>
          <w:numId w:val="2"/>
        </w:numPr>
        <w:spacing w:after="70"/>
      </w:pPr>
      <w:r>
        <w:t>Choose the skills the role requires, the minimum education level, and the minimum months of experience.</w:t>
      </w:r>
    </w:p>
    <w:p>
      <w:pPr>
        <w:pStyle w:val="ListParagraph"/>
        <w:numPr>
          <w:ilvl w:val="0"/>
          <w:numId w:val="2"/>
        </w:numPr>
        <w:spacing w:after="70"/>
      </w:pPr>
      <w:r>
        <w:t>Look at the weights control — the part that splits the score between skills, education and experience. Leave it at the default, or change it and see what the preview does.</w:t>
      </w:r>
    </w:p>
    <w:p>
      <w:pPr>
        <w:pStyle w:val="Heading3"/>
      </w:pPr>
      <w:r>
        <w:t>2 · Look at the applicants</w:t>
      </w:r>
    </w:p>
    <w:p>
      <w:pPr>
        <w:pStyle w:val="ListParagraph"/>
        <w:numPr>
          <w:ilvl w:val="0"/>
          <w:numId w:val="2"/>
        </w:numPr>
        <w:spacing w:after="70"/>
      </w:pPr>
      <w:r>
        <w:t>Open an opening that already has applicants in it — you will be told which one.</w:t>
      </w:r>
    </w:p>
    <w:p>
      <w:pPr>
        <w:pStyle w:val="ListParagraph"/>
        <w:numPr>
          <w:ilvl w:val="0"/>
          <w:numId w:val="2"/>
        </w:numPr>
        <w:spacing w:after="70"/>
      </w:pPr>
      <w:r>
        <w:t>Look at how they are ordered, and at the score beside each name.</w:t>
      </w:r>
    </w:p>
    <w:p>
      <w:pPr>
        <w:pStyle w:val="ListParagraph"/>
        <w:numPr>
          <w:ilvl w:val="0"/>
          <w:numId w:val="2"/>
        </w:numPr>
        <w:spacing w:after="70"/>
      </w:pPr>
      <w:r>
        <w:t>Open one applicant. Read the breakdown of how their score was reached.</w:t>
      </w:r>
    </w:p>
    <w:p>
      <w:pPr>
        <w:pStyle w:val="Heading3"/>
      </w:pPr>
      <w:r>
        <w:t>3 · Look at what is behind a score</w:t>
      </w:r>
    </w:p>
    <w:p>
      <w:pPr>
        <w:pStyle w:val="ListParagraph"/>
        <w:numPr>
          <w:ilvl w:val="0"/>
          <w:numId w:val="2"/>
        </w:numPr>
        <w:spacing w:after="70"/>
      </w:pPr>
      <w:r>
        <w:t>On the same applicant, find the panel showing where they said they used each skill.</w:t>
      </w:r>
    </w:p>
    <w:p>
      <w:pPr>
        <w:pStyle w:val="ListParagraph"/>
        <w:numPr>
          <w:ilvl w:val="0"/>
          <w:numId w:val="2"/>
        </w:numPr>
        <w:spacing w:after="70"/>
      </w:pPr>
      <w:r>
        <w:t>Note which skills have a source and which do not.</w:t>
      </w:r>
    </w:p>
    <w:p>
      <w:pPr>
        <w:pStyle w:val="ListParagraph"/>
        <w:numPr>
          <w:ilvl w:val="0"/>
          <w:numId w:val="2"/>
        </w:numPr>
        <w:spacing w:after="70"/>
      </w:pPr>
      <w:r>
        <w:t>If they attached their own resume file, open it and compare it with the structured one beside it.</w:t>
      </w:r>
    </w:p>
    <w:p>
      <w:pPr>
        <w:pStyle w:val="Heading3"/>
      </w:pPr>
      <w:r>
        <w:t>4 · Handle an applicant</w:t>
      </w:r>
    </w:p>
    <w:p>
      <w:pPr>
        <w:pStyle w:val="ListParagraph"/>
        <w:numPr>
          <w:ilvl w:val="0"/>
          <w:numId w:val="2"/>
        </w:numPr>
        <w:spacing w:after="70"/>
      </w:pPr>
      <w:r>
        <w:t>Move one applicant to a different stage.</w:t>
      </w:r>
    </w:p>
    <w:p>
      <w:pPr>
        <w:pStyle w:val="ListParagraph"/>
        <w:numPr>
          <w:ilvl w:val="0"/>
          <w:numId w:val="2"/>
        </w:numPr>
        <w:spacing w:after="70"/>
      </w:pPr>
      <w:r>
        <w:t>Move another to "not selected", and record a reason from the list offered.</w:t>
      </w:r>
    </w:p>
    <w:p>
      <w:pPr>
        <w:pStyle w:val="ListParagraph"/>
        <w:numPr>
          <w:ilvl w:val="0"/>
          <w:numId w:val="2"/>
        </w:numPr>
        <w:spacing w:after="70"/>
      </w:pPr>
      <w:r>
        <w:t>Read what the screen tells you about who sees that reason.</w:t>
      </w:r>
    </w:p>
    <w:p>
      <w:pPr>
        <w:pStyle w:val="ListParagraph"/>
        <w:numPr>
          <w:ilvl w:val="0"/>
          <w:numId w:val="2"/>
        </w:numPr>
        <w:spacing w:after="70"/>
      </w:pPr>
      <w:r>
        <w:t>Write a short internal note on one applicant.</w:t>
      </w:r>
    </w:p>
    <w:p>
      <w:pPr>
        <w:pStyle w:val="Heading3"/>
      </w:pPr>
      <w:r>
        <w:t>5 · Judge for yourself</w:t>
      </w:r>
    </w:p>
    <w:p>
      <w:pPr>
        <w:spacing w:after="260"/>
        <w:ind w:left="900" w:right="900"/>
        <w:jc w:val="center"/>
      </w:pPr>
      <w:r>
        <w:rPr>
          <w:sz w:val="20"/>
          <w:szCs w:val="20"/>
        </w:rPr>
        <w:t>You will be given five printed resumes and the opening they applied to. Read them and put them in the order YOU would shortlist them, best first. Do this before you look at what the system did with them. This is Instrument E and it is the most important thing on this sheet — your order is being compared with the system’s, and the comparison is only meaningful if yours is your own.</w:t>
      </w:r>
    </w:p>
    <w:p>
      <w:pPr>
        <w:pStyle w:val="Heading3"/>
      </w:pPr>
      <w:r>
        <w:t>When you are finished</w:t>
      </w:r>
    </w:p>
    <w:p>
      <w:pPr>
        <w:spacing w:after="260"/>
        <w:ind w:left="900" w:right="900"/>
        <w:jc w:val="center"/>
      </w:pPr>
      <w:r>
        <w:rPr>
          <w:sz w:val="20"/>
          <w:szCs w:val="20"/>
        </w:rPr>
        <w:t>Answer Instrument D, then Instrument E, in that order, in the same sitting.</w:t>
      </w:r>
    </w:p>
    <w:p>
      <w:pPr>
        <w:pStyle w:val="Heading1"/>
      </w:pPr>
      <w:r>
        <w:t>What you still have to prepare</w:t>
      </w:r>
    </w:p>
    <w:p>
      <w:pPr>
        <w:spacing w:after="260"/>
        <w:ind w:left="900" w:right="900"/>
        <w:jc w:val="center"/>
      </w:pPr>
      <w:r>
        <w:rPr>
          <w:sz w:val="20"/>
          <w:szCs w:val="20"/>
        </w:rPr>
        <w:t>These task sheets assume four things exist. Set them up before the first session.</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What</w:t>
            </w:r>
          </w:p>
        </w:tc>
        <w:tc>
          <w:tcPr>
            <w:tcW w:type="dxa" w:w="7260"/>
            <w:shd w:fill="F4F1EA" w:val="clear"/>
            <w:tcMar>
              <w:top w:type="dxa" w:w="90"/>
              <w:left w:type="dxa" w:w="130"/>
              <w:bottom w:type="dxa" w:w="90"/>
              <w:right w:type="dxa" w:w="130"/>
            </w:tcMar>
          </w:tcPr>
          <w:p>
            <w:r>
              <w:rPr>
                <w:b/>
                <w:bCs/>
                <w:sz w:val="19"/>
                <w:szCs w:val="19"/>
              </w:rPr>
              <w:t>Why it is needed</w:t>
            </w:r>
          </w:p>
        </w:tc>
      </w:tr>
      <w:tr>
        <w:trPr>
          <w:tblHeader/>
        </w:trPr>
        <w:tc>
          <w:tcPr>
            <w:tcW w:type="dxa" w:w="2100"/>
            <w:shd w:fill="F4F1EA" w:val="clear"/>
            <w:tcMar>
              <w:top w:type="dxa" w:w="90"/>
              <w:left w:type="dxa" w:w="130"/>
              <w:bottom w:type="dxa" w:w="90"/>
              <w:right w:type="dxa" w:w="130"/>
            </w:tcMar>
          </w:tcPr>
          <w:p>
            <w:r>
              <w:rPr>
                <w:b/>
                <w:bCs/>
                <w:sz w:val="19"/>
                <w:szCs w:val="19"/>
              </w:rPr>
              <w:t>A practice opening with applicants already in it</w:t>
            </w:r>
          </w:p>
        </w:tc>
        <w:tc>
          <w:tcPr>
            <w:tcW w:type="dxa" w:w="7260"/>
            <w:shd w:fill="F4F1EA" w:val="clear"/>
            <w:tcMar>
              <w:top w:type="dxa" w:w="90"/>
              <w:left w:type="dxa" w:w="130"/>
              <w:bottom w:type="dxa" w:w="90"/>
              <w:right w:type="dxa" w:w="130"/>
            </w:tcMar>
          </w:tcPr>
          <w:p>
            <w:r>
              <w:rPr>
                <w:b/>
                <w:bCs/>
                <w:sz w:val="19"/>
                <w:szCs w:val="19"/>
              </w:rPr>
              <w:t>Task Sheet 2 step 2. A recruiter opening an empty list has nothing to evaluate. Seed it with several applicants at different scores, including a weak one.</w:t>
            </w:r>
          </w:p>
        </w:tc>
      </w:tr>
      <w:tr>
        <w:trPr>
          <w:tblHeader/>
        </w:trPr>
        <w:tc>
          <w:tcPr>
            <w:tcW w:type="dxa" w:w="2100"/>
            <w:shd w:fill="F4F1EA" w:val="clear"/>
            <w:tcMar>
              <w:top w:type="dxa" w:w="90"/>
              <w:left w:type="dxa" w:w="130"/>
              <w:bottom w:type="dxa" w:w="90"/>
              <w:right w:type="dxa" w:w="130"/>
            </w:tcMar>
          </w:tcPr>
          <w:p>
            <w:r>
              <w:rPr>
                <w:b/>
                <w:bCs/>
                <w:sz w:val="19"/>
                <w:szCs w:val="19"/>
              </w:rPr>
              <w:t>Practice recruiter accounts</w:t>
            </w:r>
          </w:p>
        </w:tc>
        <w:tc>
          <w:tcPr>
            <w:tcW w:type="dxa" w:w="7260"/>
            <w:shd w:fill="F4F1EA" w:val="clear"/>
            <w:tcMar>
              <w:top w:type="dxa" w:w="90"/>
              <w:left w:type="dxa" w:w="130"/>
              <w:bottom w:type="dxa" w:w="90"/>
              <w:right w:type="dxa" w:w="130"/>
            </w:tcMar>
          </w:tcPr>
          <w:p>
            <w:r>
              <w:rPr>
                <w:b/>
                <w:bCs/>
                <w:sz w:val="19"/>
                <w:szCs w:val="19"/>
              </w:rPr>
              <w:t>So HR respondents do not spend their session registering and waiting for a verification code.</w:t>
            </w:r>
          </w:p>
        </w:tc>
      </w:tr>
      <w:tr>
        <w:trPr>
          <w:tblHeader/>
        </w:trPr>
        <w:tc>
          <w:tcPr>
            <w:tcW w:type="dxa" w:w="2100"/>
            <w:shd w:fill="F4F1EA" w:val="clear"/>
            <w:tcMar>
              <w:top w:type="dxa" w:w="90"/>
              <w:left w:type="dxa" w:w="130"/>
              <w:bottom w:type="dxa" w:w="90"/>
              <w:right w:type="dxa" w:w="130"/>
            </w:tcMar>
          </w:tcPr>
          <w:p>
            <w:r>
              <w:rPr>
                <w:b/>
                <w:bCs/>
                <w:sz w:val="19"/>
                <w:szCs w:val="19"/>
              </w:rPr>
              <w:t>Five printed resumes for Instrument E</w:t>
            </w:r>
          </w:p>
        </w:tc>
        <w:tc>
          <w:tcPr>
            <w:tcW w:type="dxa" w:w="7260"/>
            <w:shd w:fill="F4F1EA" w:val="clear"/>
            <w:tcMar>
              <w:top w:type="dxa" w:w="90"/>
              <w:left w:type="dxa" w:w="130"/>
              <w:bottom w:type="dxa" w:w="90"/>
              <w:right w:type="dxa" w:w="130"/>
            </w:tcMar>
          </w:tcPr>
          <w:p>
            <w:r>
              <w:rPr>
                <w:b/>
                <w:bCs/>
                <w:sz w:val="19"/>
                <w:szCs w:val="19"/>
              </w:rPr>
              <w:t>The ranking task. They must be the same five for every recruiter, and they must be printed — a recruiter reading them on the system would see the system’s scores and the comparison would be worthless.</w:t>
            </w:r>
          </w:p>
        </w:tc>
      </w:tr>
      <w:tr>
        <w:trPr>
          <w:tblHeader/>
        </w:trPr>
        <w:tc>
          <w:tcPr>
            <w:tcW w:type="dxa" w:w="2100"/>
            <w:shd w:fill="F4F1EA" w:val="clear"/>
            <w:tcMar>
              <w:top w:type="dxa" w:w="90"/>
              <w:left w:type="dxa" w:w="130"/>
              <w:bottom w:type="dxa" w:w="90"/>
              <w:right w:type="dxa" w:w="130"/>
            </w:tcMar>
          </w:tcPr>
          <w:p>
            <w:r>
              <w:rPr>
                <w:b/>
                <w:bCs/>
                <w:sz w:val="19"/>
                <w:szCs w:val="19"/>
              </w:rPr>
              <w:t>A decision about which build to use</w:t>
            </w:r>
          </w:p>
        </w:tc>
        <w:tc>
          <w:tcPr>
            <w:tcW w:type="dxa" w:w="7260"/>
            <w:shd w:fill="F4F1EA" w:val="clear"/>
            <w:tcMar>
              <w:top w:type="dxa" w:w="90"/>
              <w:left w:type="dxa" w:w="130"/>
              <w:bottom w:type="dxa" w:w="90"/>
              <w:right w:type="dxa" w:w="130"/>
            </w:tcMar>
          </w:tcPr>
          <w:p>
            <w:r>
              <w:rPr>
                <w:b/>
                <w:bCs/>
                <w:sz w:val="19"/>
                <w:szCs w:val="19"/>
              </w:rPr>
              <w:t>The API build with the real database, not the public demo. The paper’s claims about passwords, storage and the database are only true of the API build.</w:t>
            </w:r>
          </w:p>
        </w:tc>
      </w:tr>
    </w:tbl>
    <w:p>
      <w:pPr>
        <w:spacing w:after="260"/>
        <w:ind w:left="900" w:right="900"/>
        <w:jc w:val="center"/>
      </w:pPr>
      <w:r>
        <w:rPr>
          <w:sz w:val="20"/>
          <w:szCs w:val="20"/>
        </w:rPr>
        <w:t>One more thing worth deciding in advance: how a respondent gets from the task sheet to the questionnaire. A printed link that has to be typed loses people. A QR code or a link sent to them at the end of the session loses fewer.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