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groups.</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 proportion of the posting’s required skills the applicant lists, the applicant’s highest educational attainment relative to the level required, and total months of experience relative to the months required. Certifications, projects, languages and references are stored, printed and shown to the recruiter, but do not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(skills, educational level, and months of experience)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two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198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and X is total months of experience divided by the months required. Ws, We and Wx are the posting’s weights, 0.50/0.25/0.25 unless the recruiter rebalanced them; they always sum to 1.0 and none may fall below 0.10, so the scale is 0 to 100 for every posting and no component can be dropped. E and X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Fifty-three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forty-five tests covers the rule-based document reader, which reads an uploaded resume into structured fields without a language model. Six of them were written from a five-page curriculum vitae the reader had misread on the live system, and each names the damage rather than the pattern that repairs it: a wrapped sentence whose last word was a heading word must not begin a section, the section names a curriculum vitae uses must be recognised, a section that is not employment must end the one before it, a doctorate must read as the top of the education scale, a surname split by a stray hyphen must still be read as a name, and a banner reading "PERSONAL INFORMATION" must NOT be treated as a section, because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 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 One hundred and ninety-eight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two groups matching the two public account types. The first is job seekers, defined by their position rather than employment status. They comprise the five categories recorded by the first item of Instrument A: students preparing for OJT or internship, students graduating within the year, fresh graduates seeking a first job, people who have worked before and are looking again, and employed people seeking different work. All five prepare a resume and apply, and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two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two evaluation instruments will be reported under the three ISO 25010 quality characteristics the study evaluates (functional suitability, usability, and reliability)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two post-use instruments (C and D)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