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 xml:space="preserve">Part 1 is the study itself: the whole paper section by section, with the numbers, sources and commitments each one contains. Parts 2 to 8 carry 120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Q89 – Q112</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Six references could not be verified against any public record, and three more — Brooke, Campbell and Stanley, and Wilcoxon — were added with the paired block and have not been read yet. The SUS benchmark of about 68 has no source in your reference list.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xml:space="preserve">· Four rules → four decisions  </w:t>
      </w:r>
      <w:r>
        <w:rPr>
          <w:rFonts w:ascii="Arial" w:cs="Arial" w:eastAsia="Arial" w:hAnsi="Arial"/>
          <w:color w:val="333333"/>
          <w:sz w:val="17"/>
          <w:szCs w:val="17"/>
        </w:rPr>
        <w:t xml:space="preserve">consistency → a deterministic score · job relatedness → computed only from stated posting criteria · explanation → published weights and named missing skills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xml:space="preserve">· New job seekers  </w:t>
      </w:r>
      <w:r>
        <w:rPr>
          <w:rFonts w:ascii="Arial" w:cs="Arial" w:eastAsia="Arial" w:hAnsi="Arial"/>
          <w:color w:val="333333"/>
          <w:sz w:val="17"/>
          <w:szCs w:val="17"/>
        </w:rPr>
        <w:t xml:space="preserve">a free guided builder, and the same score the recruiter sees with missing skills named.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xml:space="preserve">· Three levels  </w:t>
      </w:r>
      <w:r>
        <w:rPr>
          <w:rFonts w:ascii="Arial" w:cs="Arial" w:eastAsia="Arial" w:hAnsi="Arial"/>
          <w:color w:val="333333"/>
          <w:sz w:val="17"/>
          <w:szCs w:val="17"/>
        </w:rPr>
        <w:t xml:space="preserve">automated regression across five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Fifty-two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six untraceable to any public record.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live exposure  </w:t>
      </w:r>
      <w:r>
        <w:rPr>
          <w:rFonts w:ascii="Arial" w:cs="Arial" w:eastAsia="Arial" w:hAnsi="Arial"/>
          <w:color w:val="333333"/>
          <w:sz w:val="17"/>
          <w:szCs w:val="17"/>
        </w:rPr>
        <w:t xml:space="preserve">the six unverified. Locate the PDFs or remove them and adjust the sentences they support.</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six unverified references,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 xml:space="preserve">“Our system is a free web platform that does two jobs at once. On the applicant side it walks a first-time job seeker through building a resume step by step, and it comes out in a single-column, parser-safe layout so an automated screener can actually read it. On the company side, our partner is the HR department of Clark Outsourcing, a BPO in Clark Freeport Zone; they post an opening with the skills, education level, and months of experience they need. The part in the middle is our matching engine: when someone applies we compare their structured resume against the posting and compute one compatibility score. What makes us different is that we show the applicant the same number the recruiter sees, and we name the required skills they were missing.”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 xml:space="preserve">“Two things neither of those gives. The first is that a template does not know what the job wants — it will happily let you send the same document to every posting, and the applicant never learns why nothing came back. We compare the resume against a specific posting and name the required skills that are missing, so the feedback is about that job. The second is structure. A Canva layout is built to look good, and the visual features that make it look good — columns, text boxes, icons, graphics — are the features that break automated parsing. Our output is single-column and plain-text-safe by construction, so the applicant does not have to know that trade-off exists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 xml:space="preserve">“The literature treats resume creation and job matching as separate problems. There are studies on resume quality and ATS parsing, and separate studies on job recommendation systems, but very little that closes the loop by using the same structured data an applicant entered to build their resume as the input to matching them, and then explaining the result back to them. That combination, in a Philippine single-company setting,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 xml:space="preserve">“It is the Hidden Workers study from Harvard Business School and Accenture, surveying 8,000 workers and 2,250 executives. Eighty-eight percent of employers say their own applicant tracking system filters out qualified, high-skilled candidates because the resume does not match the exact criteria in the job description, rising to ninety-four percent for middle-skills roles. It matters because it is employers describing the failure in their own systems, which is far stronger evidence for our premise than a resume company’s blog post.”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 xml:space="preserve">“It complicates it, and we say so in the review rather than hiding it. Wiles and colleagues, in a field experiment with nearly half a million jobseekers, found that applicants given algorithmic writing assistance were hired eight percent more often with no drop in employer satisfaction. Our reason for not generating content is therefore not that assistance has been shown to be harmful. It is that our system’s purpose is to explain how an application is assessed, and a system that writes someone’s resume for them is asserting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 xml:space="preserve">“It does, and the review says so directly. A system that computes and displays a compatibility score is an algorithm-driven procedure, and nothing in that evidence gives us a reason to assume applicants will regard ours as fair just because it is free or the formula is simple. What the evidence gives us is a location for the objection: Hilliard and colleagues place it in behavioural control, the sense of being unable to influence the outcome. Naming the missing skills responds to that specific finding, and whether it works is something our evaluation asks about rather than assumes.”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 xml:space="preserve">“Organisational justice theory as it applies to personnel selection, and specifically the model advanced by Gilliland in 1993. It proposes that applicants judge the fairness of a selection system by a set of procedural rules — among them whether the basis of the decision is related to the job, whether they are given adequate information and explanation about how they are being assessed, and whether the procedure is applied consistently — rather than solely by whether they were chosen.”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 xml:space="preserve">“Four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the missing skills named.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 xml:space="preserve">“I can name the ones our design responds to — job relatedness, the provision of information and explanation, and consistency of administration — and I would not want to recite the full set from memory and get one wrong. The framework in our paper uses those three because they are the ones our system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 xml:space="preserve">“The difficulty facing new job seekers is not only that they cannot produce a well-formed resume, but that they cannot see how their application is judged — and addressing both together produces effects that addressing either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 xml:space="preserve">“Questions one and two come from Instrument A, the job seeker requirement survey. Question three comes from Instrument B, the HR requirement survey, with items 15 to 17 carrying the weighting evidence specifically. Question four comes from Instrument C, the job seeker evaluation. Question five comes from Instrument D, the recruiter evaluation. Question six is the one to be careful about, because two instruments touch it and they do different things: Instrument D item 10 records what the recruiter BELIEVES about how close the order was, and Instrument E MEASURES it, by having them rank five résumés and computing Spearman’s rho against the system’s order. Where belief and measurement diverge we report both rather than resolve it.”</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 xml:space="preserve">“To design, develop and evaluate a free web-based resume builder and ATS-inspired job matching system that helps new Filipino job seekers produce parser-safe resumes and understand how their applications are assessed, while giving the HR department of a partner company structured, ranked and explainable applications.”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 xml:space="preserve">“There is no ISO questionnaire — the standard defines quality characteristics and publishes no survey instrument. ISO 25010 is the framework that determines what our evaluation asks about. Each rated item in the two post-use instruments is written against one of three characteristics and is labelled with it in Appendix A, so the mean we report for functional suitability is computed from items a reader can check belong to it. What we cannot claim is that our numbers are comparable to anyone else’s, because the instrument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Q31  </w:t>
      </w:r>
      <w:r>
        <w:rPr>
          <w:rFonts w:ascii="Arial" w:cs="Arial" w:eastAsia="Arial" w:hAnsi="Arial"/>
          <w:b/>
          <w:bCs/>
          <w:color w:val="1A1A1A"/>
          <w:sz w:val="19"/>
          <w:szCs w:val="19"/>
        </w:rPr>
        <w:t xml:space="preserve">You tell applicants exactly which skills they are missing,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 xml:space="preserve">“Nothing in the system prevents it, and the paper says so. An applicant could read the missing-skills list and add skills they do not hold, and neither we nor a commercial applicant tracking system operating on the same unverified information could detect it. What the design does is bound the consequence — the score orders a list and never rejects anyone, the recruiter still reads the resume and still interviews, and the decision rests with a named person. Whether transparency changes what applicants write is an empirical question we do not answer and have recorded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 xml:space="preserve">“They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with the missing required skills listed.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 xml:space="preserve">“Delimitations are boundaries we chose — the single partner company, the three scoring components, the decision not to generate content. Limitations are constraints we did not choose and cannot remove: that we built the system we are evaluating, that the HR group is ten people so one respondent moves a mean, that a single session cannot evidence reliability over time, and that we measure system quality rather than employment outcomes.”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 xml:space="preserve">“You should treat that as a real threat, and we do. Three procedures constrain it: respondents complete the tasks alone with no researcher beside them, all three of us code the responses independently and reconcile our codes, and a summary of the themes goes back to respondents who agreed to be contacted so they can say whether it reflects what they meant. None of that eliminates the effect, and the Limitations section says the residual possibility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 xml:space="preserve">“No, and the similarity is the reason we define ours carefully. A job board’s percentage is generated by that platform for the applicant’s benefit; the employer does not necessarily see it, and it plays no part in who gets called. Ours is the number the recruiter is ranking by. It is the same value on both screens, and that is the definitional point — we define it as the single figure produced by comparing one resume to one posting, shown identically to both sides. 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“A quantitative descriptive design. We describe how a defined group rates a defined set of statements: how difficult job seekers find each part of writing a resume, how recruiters distribute importance across skills, education and experience, and how both groups rate the system against three ISO 25010 characteristics. Descriptive, not experimental — there is no control group, nothing is withheld from anyone, and we make no causal claim.”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 xml:space="preserve">“Descriptive is the honest label, and yes — averages and distributions are exactly what we report. We are not correlational, because we test no relationship between variables; we are not experimental, because we manipulate nothing. We compute a weighted mean per item and per quality characteristic, report it against an interpretation scale fixed before any data was collected, and show the distribution alongside every mean so that agreement is never confused with two opposed groups averaging out. Claiming anything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 xml:space="preserve">“We use both, and for different jobs. Our research questions ask about three ISO 25010 characteristics, not one, and several items are about this system specifically — whether the score breakdown explained the number, whether the skills reported as missing were genuinely missing, whether the ranked order matched the recruiter’s own. No published instrument asks those, so those items had to be written. But a researcher-made instrument has no norms, which means every number it produces can only be compared with itself. So the System Usability Scale is included in Instrument C, all ten items, unaltered, scored on its own nought-to-one-hundred scale and never averaged with our ISO items. It is the one figure in the study that can be read against something outside this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Be careful here. The commonly quoted average of about 68 comes from Sauro and from Bangor and colleagues, and NEITHER is in our reference list. Either add the source before you quote the number, or report our score without a comparison. Do not say “above average” with nothing behind it.</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 xml:space="preserve">“Interviews would have been better and I will not argue otherwise. They would have told us what this particular HR department actually struggles with, which features they would never use, and what vocabulary they use for skills — and that last one is exactly where our system is weakest. What the literature gave us instead is a defensible reason for each feature that does not depend on our own guessing, and a set of requirements we could start building against immediately, which mattered given the timeline. The trade shows in our results: our first primary data about real needs arrives from the before-instruments, after the requirements were already fixed. That ordering is a weakness in our design, not a choice we would defend as superior.”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 xml:space="preserve">“Every feature traces back through the documentation to a gap, and every gap traces to something in the review or to the partner department’s practice. The two-resume design, for instance, exists because parsing failure is documented as a reason capable applicants are screened out, and our answer is to rank from structured fields the applicant can correct while still forwarding their own document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 xml:space="preserve">“Two properties of the project. We build for two user groups whose needs pull in different directions — what a job seeker wants from the score is an explanation, what a recruiter wants is a ranking — so we needed to build, show it to both, and adjust. And the matching feature had to be tuned repeatedly against test resumes and postings; we could not have specified the right behaviour up front.”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 xml:space="preserve">“The builder needed a live preview that updates as you type, across a seven-step wizard with fourteen designs the user can switch between instantly — that is a state-heavy interface, which is what Angular is built for. Node with TypeScript on the server meant the scoring function could be written once in one language and mirrored exactly on both sides, and twelve automated tests assert the browser and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 xml:space="preserve">“Three reasons, all in the paper. PostgreSQL lets us put a CHECK constraint on the application status column, so an invalid status cannot enter the database even if application code has a bug — and status is what our audit trail depends on. It applies schema changes transactionally, so a failed migration cannot leave the database half-updated. And Supabase gave us a managed free tier appropriate to a capstone. We changed during system design, before development, which is when a change like that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 xml:space="preserve">“Three levels. Automated regression tests across six suites — the matching engine, the API driven over HTTP, email delivery, the extraction feature,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 xml:space="preserve">“Two groups, fifty respondents in total. Forty job seekers — students preparing to apply, recent graduates, and others looking for entry-level work — and all the HR personnel the partner department is able to release, expected to be ten. Sampling is purposive: a job seeker must be actively preparing to apply or looking, and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Q55  </w:t>
      </w:r>
      <w:r>
        <w:rPr>
          <w:rFonts w:ascii="Arial" w:cs="Arial" w:eastAsia="Arial" w:hAnsi="Arial"/>
          <w:b/>
          <w:bCs/>
          <w:color w:val="1A1A1A"/>
          <w:sz w:val="19"/>
          <w:szCs w:val="19"/>
        </w:rPr>
        <w:t xml:space="preserve">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 xml:space="preserve">“There is no power calculation and we do not offer one, because we test no hypothesis and make no inferential claim. Forty is a practical minimum for a single-site descriptive study: enough that a five-point item can be reported as a mean with a distribution worth showing, and small enough that we can actually recruit it through one school. It is fixed in advance rather than decided as responses arrive, because a mean has to be computed over a known number of respondents. The achieved number is reported with the findings, and any shortfall is reported as a shortfall rather than absorbed.”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number is arbitrary.” It is a judgement, not an arbitrary one, and it is stated as a judgement in the paper. Do not invent a statistical justification you cannot defend.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 xml:space="preserve">“That is exactly right, and it is why we do not report the HR means on their own. The HR group is a purposive census rather than a sample — the department employs a small fixed number of people who screen applicants and all of them are invited, so there is no respondent eleven to recruit. For that group we print the distribution beside every mean, so a panel can see whether a 4.1 came from ten people agreeing or from six agreeing and four disagreeing. We report how many participated out of how many were available, and we make no claim that ten people represent recruiters beyond that department. It is recorded under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 xml:space="preserve">“There is no ISO 25010 questionnaire — the standard defines quality characteristics and publishes no survey. Our instruments are researcher-developed and the paper says so. ISO 25010 is used as the framework determining what the post-use instruments ask about, in three of its eight characteristics, so each item is written against a named characteristic, and Appendix A prints that label next to every rated item so you can check it yourself. Content validity is established by adviser review against the characteristic each item is written for, following Lawshe, and internal consistency is reported as Cronbach’s alpha per characteristic once responses are in. The instruments are pilot-tested with three to five people outside the sample before administration.”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 xml:space="preserve">“It does not, and the Instrument section says the three characteristics are not evidenced equally by this design. Reliability concerns behaviour over time. The reliability items ask respondents what happened when something went wrong during their own use, and those accounts are reported as reliability as experienced within a single session, not as an assessment of the system in service. Reliability over time is addressed through the automated regression testing and the browser walkthroughs.”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 xml:space="preserve">“A single after-instrument would tell us what they thought of the system, and that is all. It could not tell us what they expected before they saw it, so we would have no way of knowing whether the system changed anything or whether they always felt that way. The before-instrument is what lets an applicant say what they currently do when an application goes unanswered, and lets a recruiter say how they screen now — and then the after-instrument asks about the same ground. The comparison across the pair is our evidence, not the after-responses on their own. The cost is that the first instrument can prime them for the second, which is a real threat and one we name in the Validity and Reliability section.”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 xml:space="preserve">“Each respondent is first given a task sheet listing the activities they carry out themselves — for job seekers, building and exporting a resume, browsing, applying and reading the resulting score; for HR, creating a posting, reviewing the ranked applicants and updating a status. No member of the team demonstrates the system or sits beside them. Once the tasks are done they get the link and answer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 xml:space="preserve">“We report it as a finding. The weights are fixed for the duration of the study and will not be adjusted in response to the requirement-analysis results, because a system altered partway through would mean the respondents in the evaluation were not describing the same system. Any divergence between recruiter judgement and our published weighting is reported in the recruiters’ own terms, and it is the principal evidence this study offers on whether the weighting reflects how screening is actually done. The weights are configuration values, so retuning them is available to a partner company or a later study, and that is recorded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 xml:space="preserve">“Job seekers are invited through an open announcement circulated by the School of Computing, which states the inclusion criteria and asks interested people to contact us; no respondent is individually solicited by a researcher who knows them. HR respondents are invited through the head of the partner department, who forwards it to eligible staff. The invitation does not identify which researcher built which part of the system, and it says explicitly that critical accounts are as useful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 xml:space="preserve">“Descriptive statistics in seven steps, with one inferential test inside them. Prepare — export from Google Forms into a spreadsheet and number each response. Distributions — counts and percentages for every choice and checklist item, per group. Weighted mean per item — each scale point times the number who chose it, summed, divided by the number who answered, with the standard deviation beside it. Weighted mean per ISO characteristic — the items belonging to functional suitability, usability and reliability averaged into one figure each. Then the three that are not means at all: Wilcoxon signed-rank on the four paired items, the System Usability Scale scored by its own published procedure, and Spearman’s rho between each recruiter’s ordering and the system’s. 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 xml:space="preserve">“It influences it, and we say so under Validity and Reliability rather than leaving it to be found. The study is deliberately paired: a job seeker asked to rate how difficult they find each part of writing a resume has been made to attend to those difficulties before they ever open the system, and an HR respondent asked to allocate weight across skills, education and experience has been prompted to think about weighting before meeting a system that weights. We treat the post-use ratings as coming from informed rather than naive users and report them as such. Recruiting separate groups would remove the priming but would also remove the ability to compare the same person’s account of the problem with their rating of the solution, which is the comparison this study is most interested in.”</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 xml:space="preserve">“It is credible for the response itself and we do not overstate it. No name or email address is collected and each response carries only a number, so we cannot tell who answered what. What anonymity cannot do in a department of ten is hide a distinctive combination of background answers — a job title, a length of service, and a set of departments screened could in principle single somebody out. So for the HR group we report background items as counts over the whole group and never cross-tabulate one background item against another, and we never report an individual response. That is stated in the consent form as well,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 xml:space="preserve">“That is a question our paper does not yet answer well, and I would rather say so than invent a name. Our delimitation states that no maintenance happens after the project ends. Applicants can export their data and delete their account from inside the system at any time. For the deployment itself we intend to hand the codebase and database to the department and coordinate with the partner company on retention, and naming a controller formally is something we need to settle before the final manuscript.”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 xml:space="preserve">“It is in the Method, fixed before any data is collected, and that is the reason it is stated there rather than in the findings. The bands are the conventional five-point equal-interval split used in this kind of evaluation. We are not claiming we derived them — they are a convention we adopted and published in advance, and publishing them in advance is what stops us choosing the bands that flatter whatever we get. If we had computed a 3.4 and then decided that "good" starts at 3.4, the scale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 xml:space="preserve">“Because they are the four where the system could plausibly change something a respondent believes, and where we had a before-answer worth comparing to. Whether they can tell if a company’s software will read their resume; whether they can tell from a posting if they are qualified; whether they know what happens after they send it; and whether they would trust a match score that showed its working. Those four are the claims our system makes. The rest of Instrument A is about the difficulty of writing a resume, which the system also addresses but which we did not pair, because a single twenty-minute session is not enough to change how hard someone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 xml:space="preserve">“It would have been more data and we considered it. Two reasons against. First, most of Instrument A asks about what the respondent did in the past — how they made their last resume, how long it took — and re-asking those after twenty minutes with our system would produce no change and would look like padding. Second, every item repeated is an item where the respondent may remember their earlier answer and simply reproduce it, which is the testing threat we already carry. Four is what we could justify. It is thin, and that is stated in Limitations rather than argued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 xml:space="preserve">“Because a t-test assumes the differences are drawn from a roughly normal distribution and that the scale is interval. Our data is five-point ordinal — the gap between "agree" and "strongly agree" is not guaranteed to be the same size as the gap between "disagree" and "neither" — and with forty respondents on a five-point item the differences are lumpy, taking only the values −4 through +4. Wilcoxon works on the ranks of the differences and assumes no distribution at all, which is exactly the assumption we are able to make. It is also worth saying that this is the one place in the study where we treat the scale as strictly ordinal, and we are aware that we treat it as interval when we compute the means.”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 xml:space="preserve">“That the answers moved, and that the movement is unlikely to be chance within this group. It does not tell us the system caused it, and the paper says so in those words. This is a one-group pretest-posttest, which Campbell and Stanley classify as pre-experimental precisely because it cannot rule out the alternatives — the respondent may have learned something between the two sittings, or may have been prompted by the first questionnaire, or may simply be answering the second one differently because they have seen it before. We name those threats in Limitations rather than waiting to be told about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comparison you want to make, and the source you do not have</w:t>
      </w:r>
      <w:r>
        <w:br/>
      </w: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The figure everyone quotes is an average of about 68. That figure comes from Sauro, and from Bangor, Kortum and Miller — and NEITHER is in your reference list. Brooke (1996) is in your list; Brooke does not publish that benchmark. So you have two honest options: add the source and read it, or report your SUS score with no comparison at all. What you must not do is say "above average" at a defence with nothing behind it, because the follow-up question is "average of what?" and there is no answer.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 xml:space="preserve">“Because our own usability items produce a number that can only be compared with itself. Every instrument in this study except this one was written by us, so a usability mean of 4.2 is meaningful within our paper and meaningless outside it — there is nothing to hold it against. SUS is a published instrument with published norms, so it is the one figure a reader outside this study can situate. It costs ten items and it is not folded into any of our means, precisely because mixing a 0-to-100 published scale with our five-point ISO items would produce a figure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 xml:space="preserve">“It is deliberate and it is a property of the instrument rather than a flaw in it. The alternation is what defeats straight-lining: a respondent who ticks 5 all the way down scores 50, not 100, because half the items are reverse-scored. We did not alter it, and altering it is the one thing we must not do — the moment you reword a SUS item you forfeit exactly the comparability the scale was added for, and you are back to a researcher-made questionnaire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 xml:space="preserve">“We report it, and it is one of the more useful results the study could produce. A low correlation means the ordering our published weighting produces is not the ordering experienced recruiters arrive at, which is direct evidence on the question items 15 to 17 of Instrument B ask them in the abstract. It would not invalidate the system — the system never rejects anyone and the recruiter decides — but it would be a finding about the default weights, and the paper commits in advance to reporting it whichever way it falls.”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 xml:space="preserve">“We report both and we do not resolve it. That divergence is itself a finding, and it is the more interesting outcome of the two: a recruiter who says the ranking matched their judgement while their own ordering correlates weakly with it is telling us something about how a published score influences the person reading it. Our Method commits to reporting the measurement and the belief side by side rather than picking whichever supports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 xml:space="preserve">“Content validity, and it is a separate procedure — expert review by the adviser, who judges each item against the ISO characteristic or research question it was written for, with items judged not essential reworded or removed, following Lawshe. That is the only thing in our design that addresses whether the items measure the right thing, and it rests on one reviewer. We are not claiming construct validation; we did not run a factor analysis and we do not have the sample size for one. Appendix A prints the characteristic beside every rated item so that a reader can judge the mapping for themselves, which is the most we can offer.”</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 xml:space="preserve">“Score equals S times nought point five, plus E times nought point two five, plus X times nought point two five, all times one hundred. S is the proportion of the posting’s required skills the resume lists. E is the applicant’s highest education rank divided by the required rank, capped at one. X is total months of experience over the required months, also capped at one. It is 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 xml:space="preserve">“Eighty percent, which the system labels a strong match. Education is a quarter of the score and the ranks are divided as though the intervals were equal, so one fifth of the education component still leaves a strong skills match carrying the total over the threshold. The recruiter does see the education line reading below the requirement, so the information is not hidden — but I accept the tier label is doing the wrong work there.”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 xml:space="preserve">“No. It is a sum of total months compared against the minimum the posting states, and it assesses neither whether that experience is in a related field nor how recently it was gained. Twenty-four months as a call-centre agent and twenty-four months in a bookkeeping role score identically against a support posting. That is stated in our delimitations, and it is also why skills carry half the weight — of the three components, skills is the only one compared item by item against what the posting asks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 xml:space="preserve">“It contains fifty-two entries resolving to twenty-five canonical forms. Measured against the twenty-five distinct skill terms seeded in the catalogue — which are the terms our postings draw on — eighteen, or seventy-two percent, have at least one catalogued synonym. The remaining seven are Git, Windows, Canva, Copywriting, Organization, Recruitment and Scheduling, and those are matched only when an applicant writes them exactly as the posting does. So an applicant writing “GitHub” against a posting requiring “Git” gets no credit, and neither does the British spelling of “Organisation”. We re-measured after the partner company changed and coverage rose, from 63.6 percent to 72.0 — not because outsourcing is easier to describe, but because the retarget dropped hospitality terms that had no synonyms written for them.”</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 xml:space="preserve">“An uncatalogued synonym costs an applicant credit they have earned, which is a false negative. Equating related-but-different terms would credit an applicant with a skill they never claimed and put them in front of a recruiter on a false basis. We chose the first failure deliberately, and we make it visible: the applicant is shown which skills were counted missing and can correct their resume. A commercial system does not show them.”</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 xml:space="preserve">“A similarity method would compare the whole resume against the whole posting as text and give one number. It would catch wording we never anticipated, which is our biggest weakness. But it would also mix everything together: a long resume that repeats the posting’s language scores well without having the education or the experience, because similarity cannot tell a requirement from a description. Our three components are separated on purpose, so the system can say “you have eight of the ten skills, you meet the education, you are four months short.” That sentence is not producible from a cosine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 xml:space="preserve">“The structured resume built inside the platform is the only input to ranking, because its fields are unambiguous and the applicant can correct them. The optional uploaded file is forwarded to the recruiter untouched, so nothing the applicant chose to say is lost to a parser, and it is separately read into the same fields and scored by the same formula. That second score is never used to order anyone.”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 xml:space="preserve">“Its purpose is to show the applicant how much of what they wrote survived being read automatically. If the structured resume scores eighty-five and their own PDF scores forty, the gap tells them their document is not reading well and they can act on it before sending it somewhere with no such safeguard. Keeping it out of ranking is what makes it safe to show — a badly parsed document cannot lower anyone’s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 xml:space="preserve">“From the built resume we get fields — a list of skills, an education level, a number of months. Those go straight into the formula with nothing in between, so if the score is wrong we can point at a field. From an uploaded file we get text, and turning text into those fields means extraction, which can be wrong in ways nobody sees: a missed skill looks exactly like a skill the applicant does not have. If we ranked on the uploaded file, every score would carry that uncertainty and we could not tell an applicant why they scored low without hedging. So the built resume is what we rank on, and the file score exists to show the applicant the gap between the two — which is the one thing the file is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 xml:space="preserve">“A Job Seeker builds resumes, picks among fourteen designs and three formats, exports, browses partner-company openings, gets recommendations, applies, tracks across six statuses and withdraws. A Recruiter manages the company profile, posts openings with required skills, minimum education, minimum months and a closing date, receives scored and ranked applications, sees the structured resume beside any attached file, filters, updates statuses and emails an interview invitation. The Administrator is held by our team: it approves recruiter access so only verified partner staff can post, assigns departments, and produces the anonymous aggregated metrics.”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 xml:space="preserve">“They share the same interface and the same scoring code — the formula, the weights, the thresholds and the skill vocabulary are one file used by both, so a score computed on either is the same score. What differs is everything behind it. The demonstration build keeps its data in the browser and has no server, so there is no PostgreSQL, no password hashing, no email, and no extraction call — the seeded accounts are there so the flow can be shown without a running backend. The API build is the one the Method describes: Express, PostgreSQL on Supabase, hashed passwords, and the Gemini extraction. Our evaluation is on the API build, because the security and privacy claims in the paper are only true there. If you open our public link you are on the demonstration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 xml:space="preserve">“Building a resume from scratch is our strongest flow — let them watch the live preview update, and pause on the Skills step to say that half of every score comes from that one list. Switching designs is safe and pre-empts the design-count question. Exporting to PDF is fast and undeniable. Applying to a prepared posting and reading the breakdown aloud is the heart of it. Showing the same score in a recruiter window is the differentiator made visible. And the unreadable-file case is a win.”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 xml:space="preserve">“A commercial applicant tracking system shows the applicant a confirmation and then, in most cases, nothing — the ranking exists, but it lives on the recruiter’s side and the applicant never learns their position or why. Ours shows the applicant the score itself, the tier, and the named required skills that were not found on their resume. That is the entire contribution of this study stated in one comparison. I should be careful about one thing: I am describing commercial systems from the literature we reviewed and from published accounts, not from having operated one, so I would put that as what those systems are reported to do rather than as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 across six suites — engine 37, API 46, email 10, extraction 10, parity 13, reader 24</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to settle before you walk in</w:t>
      </w:r>
      <w:r>
        <w:br/>
      </w:r>
      <w:r>
        <w:rPr>
          <w:rFonts w:ascii="Arial" w:cs="Arial" w:eastAsia="Arial" w:hAnsi="Arial"/>
          <w:b w:val="false"/>
          <w:bCs w:val="false"/>
          <w:i w:val="false"/>
          <w:iCs w:val="false"/>
          <w:color w:val="1A1A1A"/>
          <w:sz w:val="19"/>
          <w:szCs w:val="19"/>
        </w:rPr>
        <w:t xml:space="preserve">1. Confirm with your adviser whether this is a proposal defense or a final defense, and make the tense consistent. This is the decision that prices every other one, and it is still open. 2. Find the PDFs for the six unverified references, or remove them and adjust the sentences they support. Read Brooke, Campbell and Stanley, and Wilcoxon before you cite them. 3. Press Ctrl+A then F9 to build the table of contents and the list of figures — they are Word fields that have never been generated. Figures 1 to 5 are already in the manuscript at full text-column width.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the named missing skills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 xml:space="preserve">“It is an addition and I would rather say so than pretend it is standard. Our framework claims that the problem is produced by two conditions together, and that the second one — the applicant cannot see how the application is judged — is only addressed if something goes back to them. A strictly linear diagram would show a system that ends at the recruiter, which is the design we are arguing against. If the panel prefers a conventional IPO we can remove the band, because the proposition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 xml:space="preserve">“Your text gives the example itself: if the matching scores do not align with how recruiters would actually rank the same applicants, the team goes back, adjusts the design, and runs through the cycle again rather than leaving the problem unresolved. I should add one qualification. That loop describes how the software was built. It does not apply during the evaluation, because the weights are frozen for the duration of the study — a system altered partway through would mean our respondents were not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 xml:space="preserve">“Because no user invokes it. It runs when an application is submitted and when an applicant previews a posting, and it supports the use cases that are actor-facing — viewing the ranked list, and viewing your own score and missing skills. Drawing it as something a recruiter does would suggest they can trigger, retune or override a score, and they cannot. 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2026-08-11T11:38:18.848Z</dcterms:created>
  <dcterms:modified xsi:type="dcterms:W3CDTF">2026-08-11T11:38:18.848Z</dcterms:modified>
</cp:coreProperties>
</file>

<file path=docProps/custom.xml><?xml version="1.0" encoding="utf-8"?>
<Properties xmlns="http://schemas.openxmlformats.org/officeDocument/2006/custom-properties" xmlns:vt="http://schemas.openxmlformats.org/officeDocument/2006/docPropsVTypes"/>
</file>