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Garcia, B. S. · Santos, F. A. L. · Talens, I. G. M.   —   Prepared 27 July 2026 · revised 14 August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The fifteen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default weights are skills 50 %, education 25 %, experience 25 %, which a recruiter may rebalance per opening; tiers at 80 and 50. They live in a database configuration row, so they remain adjustable. The skills component carries a second term: a matched skill counts in full when the applicant has named where they used it and at half when they have not.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Two: the structured resume, which is the only thing ranked on, and an optional file uploaded in the applicant's own format, which is forwarded to the recruiter untouched and is also read into the same structured fields and scored separately; that second score is shown to both sides and never affects anyone’s position in a ranking.</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Eleven automated suites (228 tests) and nine browser walkthroughs also run before the ISO 25010 evaluation; the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score a recruiter ranks by is described as the compatibility score, with nothing said about when it is computed.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is the score recorded at the moment of application. A resume edited afterwards does not reorder a shortlist already worked from; the difference is reported to the recruiter instead.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An unsuccessful applicant is told the score and the missing skills.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They are also told the reason recorded for the decision, in wording addressed to them. They are not told which member of staff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system "names the specific required skills that are missing" — stated in the Introduction, the Objectives, the Scope and the Technical Background.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no longer names them to the APPLICANT. It reports how many requirements are unmet and of what kind, and the posting states what it asks for; the recruiter still sees them named. Naming them to the applicant turned an explanation into a list of words to paste. Every affected sentence is corrected in the replacement text.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number of respondents is stated without a justification, and the job seeker group is described as students and new graduates.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size follows from a power analysis for the Wilcoxon test: 35 complete pairs for a medium effect, 40 targeted, 55–60 invited to allow for respondents who complete only one instrument. The group includes people already employed and looking, which is one of the five options Instrument A offers.</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Why this changed:  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weights that default to skills 50 percent, education 25 percent, and experience 25 percent, which a recruiter may rebalance for an individual opening; the weighting an opening uses is shown to every applicant it scores.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tells the applicant how many of the required skills their resume does not carry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and it is separately read into the same structured fields and scored by the same formula, so that an applicant can see how much of their own document survives being read by software. That second score is reported beside the first and never decides an applicant's position in a ranking.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Why this changed:  The Input now names the real matching criteria and the three-formats-times-fourteen-designs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Categorised,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 each skill accompanied by the entry on the same resume where the applicant states they used it —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default scoring weights (skills 50 percent, education 25 percent, experience 25 percent), adjustable per opening, the rule that a matched skill counts in full when the applicant has named its source on their resume and at half when they have not,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The Output section shows what the system will produce and deliver. The system deliverables include a functional web-based application with three account types (Job Seeker, Recruiter/HR, and Administrator); three resume content formats rendered through fourteen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 statement of how many required skills are missing from any given match, and of what kind,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Two objectives are new — the administrator account and data protection — and the matching objective now states the default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develop an ATS-inspired job matching feature that compares the skills, educational attainment, and work experience recorded in an applicant's structured resume against the requirements of posted positions, computes a compatibility score from default weights of 50 percent for skills, 25 percent for education, and 25 percent for experience, which a recruiter may rebalance for an individual opening, classifies each result as a strong match at 80 percent and above, a possible match from 50 to 79 percent, or a related match below 50 percent, ranks applicants for each job posting, states plainly how many of a posting’s required skills an applicant’s resume does not carry and of what kind,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two-resume design in which each applicant record holds a structured resume, built inside the system and the only one used for ranking, and an optional file uploaded by the applicant in their own format, which is forwarded to the recruiter in full and is also read into the same structured fields and scored separately; that second score is shown to both parties and never affects an applicant's position in a ranking.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related-position recommendation behaviour: when an applicant has no strong match to a specific posting, the system reports the score honestly, states how many required skills the applicant’s resume does not carry and of what kind,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The matching feature is ATS-inspired and rule-based. It compares structured resume data against structured posting requirements using a fixed, transparent,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Clark Outsourcing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stating how many of the required skills are not on the applicant’s resume and of what kind, and — where a recruiter records one — telling the applicant the reason their application did not proceed, so that a low score or an unsuccessful application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Why this changed:  The model itself changed, from Agile to Waterfall, and the paper now says why: the evaluation is a research instrument that needs one finished, unchanging system for every respondent, which an iterative model would not give. The development phase now also names the administrative module. Figure 2 no longer shows a feedback loop back to Phase 1.</w:t>
      </w:r>
      <w:r>
        <w:rPr>
          <w:rFonts w:ascii="Arial" w:cs="Arial" w:eastAsia="Arial" w:hAnsi="Arial"/>
          <w:i/>
          <w:iCs/>
          <w:color w:val="8A6A1F"/>
          <w:sz w:val="18"/>
          <w:szCs w:val="18"/>
        </w:rPr>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w:t>
      </w:r>
    </w:p>
    <w:p>
      <w:pPr>
        <w:spacing w:after="0" w:line="480"/>
        <w:ind w:firstLine="720"/>
        <w:jc w:val="both"/>
      </w:pPr>
      <w:r>
        <w:rPr>
          <w:rFonts w:ascii="Times New Roman" w:cs="Times New Roman" w:eastAsia="Times New Roman" w:hAnsi="Times New Roman"/>
          <w:color w:val="1A1A1A"/>
          <w:sz w:val="24"/>
          <w:szCs w:val="24"/>
        </w:rPr>
        <w:t>Development goes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Figure 2 shows the phases running in one direction, because that is the order they were carried out in. There is no loop back from evaluation to design. This is a constraint accepted for a research reason rather than a preference: a fault the evaluation reveals cannot be repaired and re-rated within this study, because a repaired system is no longer the system earlier respondents rated. Such findings are reported as findings, and any repair belongs to work after the study. Two things soften that cost. Correctness is established before the evaluation rather than by it, through 232 automated tests across eleven suites. And the scoring weights and tier thresholds are stored as database rows rather than written into the program, so the balance between skills, education and experience can be retuned without redeveloping anything — a change of setting, not a change of design.</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Waterfall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together with the reason a recruiter recorded for it, the recruiter's internal screening notes, and the computed matching scores. Each stored skill also carries the entry on the applicant's resume that the applicant identified as its source.</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Score  =  ( S × 0.50  +  E × 0.25  +  X × 0.25 ) × 100</w:t>
        <w:br/>
        <w:br/>
        <w:t>S  =  ( matched  −  unsourced × 0.5 )  ÷  total required skills</w:t>
      </w:r>
    </w:p>
    <w:p>
      <w:pPr>
        <w:spacing w:after="0" w:line="480"/>
        <w:ind w:firstLine="720"/>
        <w:jc w:val="both"/>
      </w:pPr>
      <w:r>
        <w:rPr>
          <w:rFonts w:ascii="Times New Roman" w:cs="Times New Roman" w:eastAsia="Times New Roman" w:hAnsi="Times New Roman"/>
          <w:color w:val="1A1A1A"/>
          <w:sz w:val="24"/>
          <w:szCs w:val="24"/>
        </w:rPr>
        <w:t>where S is the proportion of the posting's required skills that the applicant's resume also lists, counted so that a required skill the applicant has named a source for contributes a whole and one they have not contributes a half;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coefficients 0.50, 0.25 and 0.25 are the default balance; a recruiter may set a different one for an individual opening, provided the three total 100 percent and none falls below 10 percent, and each applicant is scored on the weighting the opening they applied to actually uses.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 a position of work experience, a project, a certification, or an educational entry. It is selected from those entries rather than typed, so that a stated source cannot be composed at the same moment as the skill it supports. A required skill the applicant has matched and sourced contributes its full share of S; one they have matched but not sourced contributes half. It is never discounted to zero: a skill acquired through self-study or through work too brief to record on a resume is a real skill, and treating it as an absence would penalise precisely the applicants this study is concerned with.</w:t>
      </w:r>
    </w:p>
    <w:p>
      <w:pPr>
        <w:spacing w:after="0" w:line="480"/>
        <w:ind w:firstLine="720"/>
        <w:jc w:val="both"/>
      </w:pPr>
      <w:r>
        <w:rPr>
          <w:rFonts w:ascii="Times New Roman" w:cs="Times New Roman" w:eastAsia="Times New Roman" w:hAnsi="Times New Roman"/>
          <w:color w:val="1A1A1A"/>
          <w:sz w:val="24"/>
          <w:szCs w:val="24"/>
        </w:rPr>
        <w:t>The recorded source is not printed on the resume. The document an applicant exports lists their skills as plain terms, exactly as it did before this rule was introduced, because attaching an employer's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pPr>
        <w:spacing w:after="0" w:line="480"/>
        <w:ind w:firstLine="720"/>
        <w:jc w:val="both"/>
      </w:pPr>
      <w:r>
        <w:rPr>
          <w:rFonts w:ascii="Times New Roman" w:cs="Times New Roman" w:eastAsia="Times New Roman" w:hAnsi="Times New Roman"/>
          <w:color w:val="1A1A1A"/>
          <w:sz w:val="24"/>
          <w:szCs w:val="24"/>
        </w:rPr>
        <w:t>The extent of this measure should be stated precisely. Because every posting publishes the skills it requires, an applicant can always read that list; partial credit does not prevent an applicant from adding required skills to a resume, and it is not claimed to. What it does is attach a cost to doing so and present the recruiter with the evidence to ask about it: on a posting requiring four skills, an applicant holding one of them who adds the remaining three without sources reaches 81 rather than 100. A separate provision addresses the same behaviour after the fact — the score by which applicants are ranked is the score recorded at the moment of application, so a resume edited afterwards cannot alter an order a recruiter has already worked from, and the change is reported to the recruiter as a labelled difference instead.</w:t>
      </w:r>
    </w:p>
    <w:p>
      <w:pPr>
        <w:spacing w:after="0" w:line="480"/>
        <w:ind w:firstLine="720"/>
        <w:jc w:val="both"/>
      </w:pPr>
      <w:r>
        <w:rPr>
          <w:rFonts w:ascii="Times New Roman" w:cs="Times New Roman" w:eastAsia="Times New Roman" w:hAnsi="Times New Roman"/>
          <w:color w:val="1A1A1A"/>
          <w:sz w:val="24"/>
          <w:szCs w:val="24"/>
        </w:rPr>
        <w:t>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how many were not and of what kind.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Each applicant record holds two resumes, and only one of them is ranked on. The structured resume built inside the system is the sole input to ranking, because its fields are unambiguous. The optional file that an applicant uploads in their own format is stored and forwarded to the recruiter untouched; it is also read into the same structured fields and scored by the same formula, and that second score is displayed to the applicant and to the recruiter beside the first. It never takes part in ordering applicants. A file that cannot be read produces no score at all rather than a score of zero, because the two statements mean opposite things to the person reading them.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the rounding rule, the half credit given to a matched skill for which no source was named, and checks confirming that the skill vocabulary never equates two genuinely different skills. Fifty-seven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the guarantee that a stated source must correspond to an entry the resume actually contains, and the rule that an applicant is shown the reason recorded for a decision but never the name of the staff member who made it. Thirteen tests drive the same operations through the browser implementation and the server implementation and assert that the two produce identical results, so the score an applicant previews and the score a recruiter reads cannot diverge. Forty-six tests cover the rule-based document reader against real resume shapes. Eleven tests confirm that every message the system sends is actually delivered — verification and password-reset codes, the recruiter's new-application notice, status changes, job alerts, and interview invitations, including the calendar file attached when a recruiter proposes an interview time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Two hundred and twenty-eight automated tests run in total across eleven suites, the remainder covering file storage, the outgoing mail transport, cross-side integration, the interview calendar file and a four-thousand-case check of the scoring formula,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The second level is a browser walkthrough. Nine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Why this changed:  Adds the sentence explaining why the administrator account is not a third respondent group; widens the job seeker definition to the five categories Instrument A actually offers, including respondents who are employed and looking; and adds the justification for the sample size — a power analysis for the Wilcoxon test, the recruitment target that follows from it, why Slovin-type formulas do not apply to purposive sampling, and the limit the chosen size imposes.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The respondents of this study will be 50 participants divided into two groups that correspond to the two public account types of the system. The first group will consist of 40 job seekers. This group is defined by the position the respondent is in rather than by their employment status: students preparing to apply for OJT or internship, students graduating within the year, fresh graduates seeking their first job, people who have worked before and are looking again, and people who are currently employed and looking for different work. All five are people who must prepare a resume and apply, which is the activity the system supports, and the first item of Instrument A records which of the five each respondent is so that the composition of the group is reported with the findings rather than assumed. The second group will consist of 10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spacing w:after="0" w:line="480"/>
        <w:ind w:firstLine="720"/>
        <w:jc w:val="both"/>
      </w:pPr>
      <w:r>
        <w:rPr>
          <w:rFonts w:ascii="Times New Roman" w:cs="Times New Roman" w:eastAsia="Times New Roman" w:hAnsi="Times New Roman"/>
          <w:color w:val="1A1A1A"/>
          <w:sz w:val="24"/>
          <w:szCs w:val="24"/>
        </w:rPr>
        <w:t>The size of the job seeker group is set by the requirements of the paired comparison described in the preceding subsection. Four items of Instrument A are repeated in Instrument C and analysed with the Wilcoxon signed-rank test; to detect a medium effect (Cohen’s dz = 0.5) at 80 percent power with alpha set at .05, two-tailed, that test requires 35 respondents who complete both instruments. The target of 40 complete pairs is set above that minimum and corresponds to a detectable effect of approximately dz = 0.45. Because the two instruments are administered on separate occasions — Instrument A before the system is available and Instrument C after the respondent has worked through the task sheet — and because a respondent who completes only one of the two contributes no pair at all, between 55 and 60 job seekers will be invited in order to obtain 40 complete pairs. Where the four paired items are tested together, the Holm procedure will be used to control the family-wise error rate; this is stated in advance so that the decision cannot be made after the results are seen.</w:t>
      </w:r>
    </w:p>
    <w:p>
      <w:pPr>
        <w:spacing w:after="0" w:line="480"/>
        <w:ind w:firstLine="720"/>
        <w:jc w:val="both"/>
      </w:pPr>
      <w:r>
        <w:rPr>
          <w:rFonts w:ascii="Times New Roman" w:cs="Times New Roman" w:eastAsia="Times New Roman" w:hAnsi="Times New Roman"/>
          <w:color w:val="1A1A1A"/>
          <w:sz w:val="24"/>
          <w:szCs w:val="24"/>
        </w:rPr>
        <w:t>No margin-of-error or sample size formula of the Slovin type is used, and none is applicable. Those formulas estimate the number of observations required to bound the error of an estimate drawn by random probability sampling, and the margin of error they produce is a property of random selection. The sampling in this study is purposive, and there is no enumerated sampling frame from which a random draw could be taken; a margin of error computed over a purposively selected group would therefore carry no inferential meaning.</w:t>
      </w:r>
    </w:p>
    <w:p>
      <w:pPr>
        <w:spacing w:after="0" w:line="480"/>
        <w:ind w:firstLine="720"/>
        <w:jc w:val="both"/>
      </w:pPr>
      <w:r>
        <w:rPr>
          <w:rFonts w:ascii="Times New Roman" w:cs="Times New Roman" w:eastAsia="Times New Roman" w:hAnsi="Times New Roman"/>
          <w:color w:val="1A1A1A"/>
          <w:sz w:val="24"/>
          <w:szCs w:val="24"/>
        </w:rPr>
        <w:t>The HR group is not sampled. All available personnel who screen applicants as part of their work at the partner company are invited, which is total enumeration of that function rather than a sample drawn from it, and no size calculation applies. Because that group is expected to number about ten, its results are reported with their distributions and not as means alone.</w:t>
      </w:r>
    </w:p>
    <w:p>
      <w:pPr>
        <w:spacing w:after="0" w:line="480"/>
        <w:ind w:firstLine="720"/>
        <w:jc w:val="both"/>
      </w:pPr>
      <w:r>
        <w:rPr>
          <w:rFonts w:ascii="Times New Roman" w:cs="Times New Roman" w:eastAsia="Times New Roman" w:hAnsi="Times New Roman"/>
          <w:color w:val="1A1A1A"/>
          <w:sz w:val="24"/>
          <w:szCs w:val="24"/>
        </w:rPr>
        <w:t>The study is powered for a medium change and not for a smaller one; detecting an effect of dz = 0.3 would require approximately 94 complete pairs. This is stated under Limitations, and a non-significant result on any paired item will be reported as a difference not detected at this sample size rather than as evidence that no difference occurred.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each applicant can see the score any posting gives them, and the system states how many of the required skills the resume does not carry and of what kind, so that applicants are told where they fall short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default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2026-08-10T14:36:50.219Z</dcterms:created>
  <dcterms:modified xsi:type="dcterms:W3CDTF">2026-08-10T14:36:50.219Z</dcterms:modified>
</cp:coreProperties>
</file>

<file path=docProps/custom.xml><?xml version="1.0" encoding="utf-8"?>
<Properties xmlns="http://schemas.openxmlformats.org/officeDocument/2006/custom-properties" xmlns:vt="http://schemas.openxmlformats.org/officeDocument/2006/docPropsVTypes"/>
</file>