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ResumeMatch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as requirement analysis, and three after respondents have used it. In the sixth, recruiters rank a fixed set of resumes, so that the order they produce can be compared against the order the system produces. Respondents are job seekers recruited through the School of Computing, Human Resources personnel of Clark Outsourcing, and a small group of IT experts who examine the system and its source code, all selected by purposive sampling. The ISO/IEC 25010 quality model provides the framework for the post-use instruments. Job seekers and recruiters rate functional suitability, usability and reliability from their own use; the IT experts additionally rate security and maintainability from inspection.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these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analyze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groups.</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six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only: the proportion of the posting’s required skills the applicant lists, the applicant’s highest educational attainment relative to the level required, and total months of experience relative to the months required. Certifications, projects, languages and references are stored, printed and shown to the recruiter, but do not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only (skills, educational level, and months of experience) weighted at 50 percent, 25 percent and 25 percent by default. A recruiter may set a different balance for an individual opening, provided the three weights total 100 percent and none is below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Waterfall model described in the Design of Software, System, Product and Process section; Waterfall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in order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two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real constraint accepted for a research reason rather than a preference, and it has a cost the researchers state plainly: a fault that the evaluation reveals cannot be repaired and re-rated within this study, because a repaired system is no longer the system the earlier respondents rated. Such findings are reported as findings, and any repair belongs to work after the study rather than inside it.</w:t>
        <w:br/>
        <w:br/>
        <w:t>Two things soften that cost without breaking the model. First, correctness is established before the evaluation rather than by it: the system is verified by 198 automated tests across eight suites, run in full on every change, so defects are found by testing rather than by respondents. Second, the parts of the system most likely to need adjustment are configuration rather than code. The scoring weights and the tier thresholds are stored as rows in the database, so the balance between skills, education and experience can be retuned without redeveloping anything, and a recruiter may set that balance for an individual opening. Changing a setting is not a change of design, and it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three components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 xml:space="preserve">Score  =  ( S × Ws  +  E × We  +  X × Wx ) × 100</w:t>
      </w:r>
      <w:r w:rsidDel="00000000" w:rsidR="00000000" w:rsidRPr="00000000">
        <w:rPr>
          <w:rtl w:val="0"/>
        </w:rPr>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and X is total months of experience divided by the months required. Ws, We and Wx are the posting’s weights, 0.50/0.25/0.25 unless the recruiter rebalanced them; they always sum to 1.0 and none may fall below 0.10, so the scale is 0 to 100 for every posting and no component can be dropped. E and X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an entry already on their resume, a job, project, certification or educational entry, rather than type one, so a source cannot be invented alongside the skill it supports.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built inside the system is the sole input to ranking, because its fields are unambiguous and correctable.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eight areas and runs in full on every change to the source code. Fifty-one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the suite checks three things. A posting carrying its own weights is scored with them, while one carrying none follows the site defaults. A malformed set falls back to those defaults rather than rescaling the score. A component held at the ten percent floor can still separate two applicants. A final check confirms that every skill in the seeded catalogue is stored under the same canonical form the engine itself would compute, so that a synonym entered in a resume cannot fail to match the posting requiring it. Fifty-three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 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 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sixth suite of forty-five tests covers the rule-based document reader, which reads an uploaded resume into structured fields without a language model. Six of them were written from a five-page curriculum vitae the reader had misread on the live system, and each names the damage rather than the pattern that repairs it: a wrapped sentence whose last word was a heading word must not begin a section, the section names a curriculum vitae uses must be recognised, a section that is not employment must end the one before it, a doctorate must read as the top of the education scale, a surname split by a stray hyphen must still be read as a name, and a banner reading "PERSONAL INFORMATION" must NOT be treated as a section, because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 A seventh suite of ten tests covers the file store, confirming that the two storage backends behave identically and that a key cannot escape the folder it belongs to. An eighth suite of six tests covers the outgoing mail transport, confirming which transport is selected under each configuration and that a rejected send raises an error the route can act on rather than passing silently. One hundred and ninety-eight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with actual users. The completed system is assessed using the ISO 25010 standard, focusing on usability, functionality, and reliability. User acceptance testing will be done with both target user groups (job seekers and HR personnel) to check whether the system is effective for each of them and to gather feedback before the final deployment.</w:t>
      </w:r>
      <w:r w:rsidDel="00000000" w:rsidR="00000000" w:rsidRPr="00000000">
        <w:rPr>
          <w:rtl w:val="0"/>
        </w:rPr>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five categories recorded by the first item of Instrument A: students preparing for OJT or internship, students graduating within the year, fresh graduates seeking a first job, people who have worked before and are looking again, and employed people seeking different work. All five prepare a resume and apply, and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Unlike the first two, this group does not correspond to an account type, and its members are not users of the system in the sense the other respondents are. They are recruited to judge properties of the system that its users are not placed to judge. An IT expert is defined for this study by three conditions, all of which must hold. The respondent has at least three years of professional experience in software development, systems administration, or the teaching of information technology at tertiary level. The respondent has worked with web applications, whether in building, deploying, or maintaining them. And the respondent is not a member of the research group, is not the research adviser, and has taken no part in developing the system. The third condition is stated because the same properties that make a person able to evaluate the system also make them a plausible collaborator on it, and a rating given by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is able to release, expected to be ten. The two groups are sized on different logics, and the distinction is deliberate. The job seeker target was fixed in advance rather than determined during data gathering, because a closed instrument is analysed by computing means and distributions over a known number of respondents, and a sample whose size is decided as responses arrive cannot support that. Forty was set as the minimum at which a five-point item can be reported as a mean with a distribution that is worth showing; it is a practical minimum for a single-site study rather than a figure derived from a power calculation. The achieved number is reported here rather than left in the findings alone, because it differs from the target in both directions at once. Instrument A drew 108 responses, of which 103 are valid; the five excluded are the responses collected while the form was still running in an open-ended version, and are excluded because an open answer cannot be averaged with a rated one. Of the 103, forty-six describe themselves in item 2 as a student graduating within the year or the next, a fresh graduate seeking a first job, or someone who has worked before and is looking again. Those forty-six are the population this study is about, and they exceed the target of forty. The remaining fifty-seven describe themselves as currently employed and not looking. They are outside the stated population and are NOT pooled with it: every figure in the findings is reported for the forty-six, with the fifty-seven reported separately as a reference group. The reason for reporting them at all rather than discarding them is that they answered the same instrument at the same time and their answers differ systematically from the target group’s, which is itself a finding about who feels these difficulties. The reason for not pooling them is simpler: a mean over both groups would describe neither, and it would flatter nothing — it would understate every difficulty the study is about. To these are added five IT experts, with three set as the minimum below which the expert evaluation is reported as incomplete rather than as a result. That number is small and the study does not present it as anything else: five is what a single-site undergraduate study can obtain from respondents meeting all three conditions, and it is accepted because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 xml:space="preserve">The administrator account is not represented by a respondent group because it is operated by the researchers themselves as a system-governance role rather than by an external user; its functions are verified through system testing rather than through the user evaluation. The two respondent groups were chosen because they represent the two sides of the system: job seekers will describe the resume builder, the job recommendation feature, and the application process, while the HR respondents will describe the job posting, applicant management, and matching features.</w:t>
      </w:r>
      <w:r w:rsidDel="00000000" w:rsidR="00000000" w:rsidRPr="00000000">
        <w:rPr>
          <w:rtl w:val="0"/>
        </w:rPr>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six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three of its eight characteristics: functional suitability, usability, and reliability.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two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three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 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 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to issue each respondent a code and collect no identifying field at all. The form as built asks instead for an email address, optionally, at the end. It does so for two reasons the researchers stand behind: it evidences that the responses came from real people who were approached and agreed to take part, which a self-generated code cannot; and it is the key by which a respondent’s answers before and after use are paired, which is what the four repeated items require. The cost is that a respondent who supplies one is identifiable to the research team, so the responses are held under the confidentiality and retention terms set out under Ethical Consideration rather than being anonymous. The benefit is not free either: an email address is optional, and twenty-nine of the 103 valid respondents to Instrument A supplied one, so the paired comparison is bounded above by twenty-nine and not by the number of respondents. That figure is reported with the results rather than left to be inferred. A respondent who supplies no address contributes to every other analysis and is excluded from the paired comparison alone,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field,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two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 xml:space="preserve">Weighted mean per quality characteristic. For the two post-use instruments, the items belonging to each ISO/IEC 25010 characteristic will be averaged to give one mean for functional suitability, one for usability, and one for reliability, reported overall and separately for job seekers and HR personnel. Items marked in Appendix A as excluded from the quality means are not included in this step.</w:t>
      </w:r>
      <w:r w:rsidDel="00000000" w:rsidR="00000000" w:rsidRPr="00000000">
        <w:rPr>
          <w:rtl w:val="0"/>
        </w:rPr>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All four items are worded so that agreement describes a difficulty, so on all four a FALL in the answer is an improvement and no item in the block is read in the opposite direction to the others. The median difference, the number of respondents who moved in each direction, and the effect size r are reported together with the p-value; a p-value alone would say whether a change occurred without saying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two instruments are matched on an optional email address, the number of usable pairs is bounded by the number of respondents who supplied one on both occasions, which is at most twenty within the target group. At that number the test can only detect a large effect, and this is stated in advance rather than discovered afterwards: with twenty pairs the test detects approximately dz = 0.66 at 80 percent power with alpha at .05, two-tailed. The consequence is stated plainly. If the test returns no significant difference, that is reported as a difference not detected at this number of pairs, and is NOT reported as evidence that no change occurred. If the number of usable pairs falls below ten, the test is not run at all and the before-and-after answers are reported as paired descriptive statistics only, because a significance test on that many pairs would give a number with no useful meaning attached to it.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two evaluation instruments will be reported under the three ISO 25010 quality characteristics the study evaluates (functional suitability, usability, and reliability) so that the findings address defined criteria.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 xml:space="preserve">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two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r w:rsidDel="00000000" w:rsidR="00000000" w:rsidRPr="00000000">
        <w:rPr>
          <w:rtl w:val="0"/>
        </w:rPr>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and there is therefore no quotation that could carry a respondent’s identity into the findings. Responses are CONFIDENTIAL RATHER THAN ANONYMOUS, and the difference is recorded here rather than described loosely. Each instrument ends with an optional request for an email address. It serves two purposes: it evidences that responses came from real people who were approached and agreed to take part, and it is the only key by which one respondent’s answers before and after use can be matched. A respondent who supplies one is therefore identifiable to the research team. Addresses are held in the access-restricted folder with the raw responses, are never reported, are not used to contact anyone for any purpose beyond the second instrument, and are deleted with the rest of the raw data when the study is completed and the final manuscript approved. No respondent is required to supply one, and a respondent who does not is excluded from the paired comparison alone. The identification risk that remains beyond this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two post-use instruments (C and D)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two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published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stated 50 / 25 / 25 formula.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six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organized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 xml:space="preserve">Your rights under Republic Act 10173</w:t>
      </w:r>
      <w:r w:rsidDel="00000000" w:rsidR="00000000" w:rsidRPr="00000000">
        <w:rPr>
          <w:rtl w:val="0"/>
        </w:rPr>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