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i w:val="false"/>
          <w:iCs w:val="false"/>
          <w:color w:val="1A1A1A"/>
          <w:sz w:val="36"/>
          <w:szCs w:val="36"/>
        </w:rPr>
        <w:t xml:space="preserve">The Codebase, File by File</w:t>
      </w:r>
    </w:p>
    <w:p>
      <w:pPr>
        <w:spacing w:after="110" w:line="300"/>
        <w:jc w:val="center"/>
      </w:pPr>
      <w:r>
        <w:rPr>
          <w:rFonts w:ascii="Arial" w:cs="Arial" w:eastAsia="Arial" w:hAnsi="Arial"/>
          <w:b w:val="false"/>
          <w:bCs w:val="false"/>
          <w:i w:val="false"/>
          <w:iCs w:val="false"/>
          <w:color w:val="6B6B6B"/>
          <w:sz w:val="19"/>
          <w:szCs w:val="19"/>
        </w:rPr>
        <w:t xml:space="preserve">ResumeMatch PH · Talenss/CapstoneWebsite · branch claude/frontend-angular-migration-5wg3nu at f23f0f0</w:t>
      </w:r>
    </w:p>
    <w:p>
      <w:pPr>
        <w:spacing w:after="130" w:before="60"/>
      </w:pPr>
      <w:r>
        <w:rPr>
          <w:rFonts w:ascii="Arial" w:cs="Arial" w:eastAsia="Arial" w:hAnsi="Arial"/>
          <w:b/>
          <w:bCs/>
          <w:color w:val="6B6B6B"/>
          <w:sz w:val="16"/>
          <w:szCs w:val="16"/>
        </w:rPr>
        <w:t xml:space="preserve">▌ HOW TO READ THIS</w:t>
      </w:r>
    </w:p>
    <w:p>
      <w:pPr>
        <w:spacing w:after="110" w:before="0" w:line="285"/>
      </w:pPr>
      <w:r>
        <w:rPr>
          <w:rFonts w:ascii="Arial" w:cs="Arial" w:eastAsia="Arial" w:hAnsi="Arial"/>
          <w:b w:val="false"/>
          <w:bCs w:val="false"/>
          <w:i w:val="false"/>
          <w:iCs w:val="false"/>
          <w:color w:val="1A1A1A"/>
          <w:sz w:val="19"/>
          <w:szCs w:val="19"/>
        </w:rPr>
        <w:t xml:space="preserve">Every file the website depends on, with its size and its job. Line counts are read from the repository when this document is generated, so they cannot drift. Notes under each table give the reasoning you would otherwise have to open the source to find.</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04_Website is excluded, and nothing needs it</w:t>
      </w:r>
      <w:r>
        <w:br/>
      </w:r>
      <w:r>
        <w:rPr>
          <w:rFonts w:ascii="Arial" w:cs="Arial" w:eastAsia="Arial" w:hAnsi="Arial"/>
          <w:b w:val="false"/>
          <w:bCs w:val="false"/>
          <w:i w:val="false"/>
          <w:iCs w:val="false"/>
          <w:color w:val="1A1A1A"/>
          <w:sz w:val="19"/>
          <w:szCs w:val="19"/>
        </w:rPr>
        <w:t xml:space="preserve">Searching the repository for references to 04_Website from outside that folder returns ten hits, and every one is a comment recording which PHP file a TypeScript file was ported from. No import, no build step, no configuration value, no runtime path. Netlify builds from the client folder; CI installs only under 05_Website_Angular. It can be deleted without breaking the build, the tests or the deployment — it is kept as evidence the migration happened. Part 8 records what is in it.</w:t>
      </w:r>
    </w:p>
    <w:p>
      <w:pPr>
        <w:spacing w:after="110" w:before="260" w:line="290"/>
      </w:pPr>
      <w:r>
        <w:rPr>
          <w:rFonts w:ascii="Arial" w:cs="Arial" w:eastAsia="Arial" w:hAnsi="Arial"/>
          <w:b/>
          <w:bCs/>
          <w:i w:val="false"/>
          <w:iCs w:val="false"/>
          <w:color w:val="1A1A1A"/>
          <w:sz w:val="22"/>
          <w:szCs w:val="22"/>
        </w:rPr>
        <w:t xml:space="preserve">The repository at a glance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1123"/>
        <w:gridCol w:w="5803"/>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Area</w:t>
            </w:r>
          </w:p>
        </w:tc>
        <w:tc>
          <w:tcPr>
            <w:tcW w:type="dxa" w:w="112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580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is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client/src</w:t>
            </w:r>
          </w:p>
        </w:tc>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~11,900</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Angular 21 front end — every page, both builds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server/src + scripts</w:t>
            </w:r>
          </w:p>
        </w:tc>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4,115</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Node/Express API in TypeScript — every rule not trusted to a browser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db</w:t>
            </w:r>
          </w:p>
        </w:tc>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627</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One PostgreSQL file: 21 tables, constraints, seed data</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server/tests</w:t>
            </w:r>
          </w:p>
        </w:tc>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2,366</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Five automated suites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e2e</w:t>
            </w:r>
          </w:p>
        </w:tc>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1,174</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Seven Playwright browser walkthroughs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docs</w:t>
            </w:r>
          </w:p>
        </w:tc>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 files</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Generated capstone deliverables — documents, not source</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04_Website</w:t>
            </w:r>
          </w:p>
        </w:tc>
        <w:tc>
          <w:tcPr>
            <w:tcW w:type="dxa" w:w="112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36 files</w:t>
            </w:r>
          </w:p>
        </w:tc>
        <w:tc>
          <w:tcPr>
            <w:tcW w:type="dxa" w:w="580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Original PHP version. Reference only.</w:t>
            </w:r>
          </w:p>
        </w:tc>
      </w:tr>
    </w:tbl>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0 · How it fits together</w:t>
      </w:r>
    </w:p>
    <w:p>
      <w:pPr>
        <w:spacing w:after="130" w:before="60"/>
      </w:pPr>
      <w:r>
        <w:rPr>
          <w:rFonts w:ascii="Arial" w:cs="Arial" w:eastAsia="Arial" w:hAnsi="Arial"/>
          <w:b/>
          <w:bCs/>
          <w:color w:val="8A6A1F"/>
          <w:sz w:val="16"/>
          <w:szCs w:val="16"/>
        </w:rPr>
        <w:t xml:space="preserve">▌ REVIEWER VOICE — THE BUILD</w:t>
      </w:r>
    </w:p>
    <w:p>
      <w:pPr>
        <w:spacing w:after="110" w:before="0" w:line="285"/>
      </w:pPr>
      <w:r>
        <w:rPr>
          <w:rFonts w:ascii="Arial" w:cs="Arial" w:eastAsia="Arial" w:hAnsi="Arial"/>
          <w:b w:val="false"/>
          <w:bCs w:val="false"/>
          <w:i w:val="false"/>
          <w:iCs w:val="false"/>
          <w:color w:val="1A1A1A"/>
          <w:sz w:val="19"/>
          <w:szCs w:val="19"/>
        </w:rPr>
        <w:t xml:space="preserve">One Angular application and one Express API, sharing a scoring engine and a data contract. The client renders every page for all three account types. The server holds everything that must not be trusted to a browser — authentication, role checks, and the computation of match scores.</w:t>
      </w:r>
    </w:p>
    <w:p>
      <w:pPr>
        <w:spacing w:after="70" w:line="285"/>
        <w:ind w:left="300" w:hanging="300"/>
      </w:pPr>
      <w:r>
        <w:rPr>
          <w:rFonts w:ascii="Arial" w:cs="Arial" w:eastAsia="Arial" w:hAnsi="Arial"/>
          <w:b/>
          <w:bCs/>
          <w:color w:val="1A1A1A"/>
          <w:sz w:val="18"/>
          <w:szCs w:val="18"/>
        </w:rPr>
        <w:t xml:space="preserve">Two modes, one interface.  </w:t>
      </w:r>
      <w:r>
        <w:rPr>
          <w:rFonts w:ascii="Arial" w:cs="Arial" w:eastAsia="Arial" w:hAnsi="Arial"/>
          <w:color w:val="2E2E2E"/>
          <w:sz w:val="18"/>
          <w:szCs w:val="18"/>
        </w:rPr>
        <w:t xml:space="preserve">core/adapter.ts declares the surface every page component talks to. HttpAdapter calls the API; DemoAdapter is a complete hand-written implementation over browser storage needing no server. environment.mode picks one. This is why the public link works on a static host — and why the deployed demo has no database, no password hashing and no extraction.</w:t>
      </w:r>
    </w:p>
    <w:p>
      <w:pPr>
        <w:spacing w:after="70" w:line="285"/>
        <w:ind w:left="300" w:hanging="300"/>
      </w:pPr>
      <w:r>
        <w:rPr>
          <w:rFonts w:ascii="Arial" w:cs="Arial" w:eastAsia="Arial" w:hAnsi="Arial"/>
          <w:b/>
          <w:bCs/>
          <w:color w:val="1A1A1A"/>
          <w:sz w:val="18"/>
          <w:szCs w:val="18"/>
        </w:rPr>
        <w:t xml:space="preserve">The engine exists twice on purpose.  </w:t>
      </w:r>
      <w:r>
        <w:rPr>
          <w:rFonts w:ascii="Arial" w:cs="Arial" w:eastAsia="Arial" w:hAnsi="Arial"/>
          <w:color w:val="2E2E2E"/>
          <w:sz w:val="18"/>
          <w:szCs w:val="18"/>
        </w:rPr>
        <w:t xml:space="preserve">client/src/app/core/engine.ts and server/src/lib/engine.ts hold the same rules; tests/mode-parity.test.ts asserts they agree on the rules and on the actual numbers, so the build that gets demonstrated cannot drift from the one that was evaluated.</w:t>
      </w:r>
    </w:p>
    <w:p>
      <w:pPr>
        <w:spacing w:after="70" w:line="285"/>
        <w:ind w:left="300" w:hanging="300"/>
      </w:pPr>
      <w:r>
        <w:rPr>
          <w:rFonts w:ascii="Arial" w:cs="Arial" w:eastAsia="Arial" w:hAnsi="Arial"/>
          <w:b/>
          <w:bCs/>
          <w:color w:val="1A1A1A"/>
          <w:sz w:val="18"/>
          <w:szCs w:val="18"/>
        </w:rPr>
        <w:t xml:space="preserve">Two builds, one source tree.  </w:t>
      </w:r>
      <w:r>
        <w:rPr>
          <w:rFonts w:ascii="Arial" w:cs="Arial" w:eastAsia="Arial" w:hAnsi="Arial"/>
          <w:color w:val="2E2E2E"/>
          <w:sz w:val="18"/>
          <w:szCs w:val="18"/>
        </w:rPr>
        <w:t xml:space="preserve">npm run build is the API version the Method describes; npm run build:demo is the browser-only version Netlify deploys. Both end with guards that fail rather than ship a page broken in a way no dev server would reveal.</w:t>
      </w:r>
    </w:p>
    <w:p>
      <w:pPr>
        <w:spacing w:after="70" w:line="285"/>
        <w:ind w:left="300" w:hanging="300"/>
      </w:pPr>
      <w:r>
        <w:rPr>
          <w:rFonts w:ascii="Arial" w:cs="Arial" w:eastAsia="Arial" w:hAnsi="Arial"/>
          <w:b/>
          <w:bCs/>
          <w:color w:val="1A1A1A"/>
          <w:sz w:val="18"/>
          <w:szCs w:val="18"/>
        </w:rPr>
        <w:t xml:space="preserve">Secrets.  </w:t>
      </w:r>
      <w:r>
        <w:rPr>
          <w:rFonts w:ascii="Arial" w:cs="Arial" w:eastAsia="Arial" w:hAnsi="Arial"/>
          <w:color w:val="2E2E2E"/>
          <w:sz w:val="18"/>
          <w:szCs w:val="18"/>
        </w:rPr>
        <w:t xml:space="preserve">server/.env is gitignored and absent from the repository; .env.example carries no real values; server/uploads is ignored wholesale. Verified with git check-ignore, not inferred.</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1 · Repository root</w:t>
      </w:r>
    </w:p>
    <w:p>
      <w:pPr>
        <w:spacing w:after="130" w:before="60"/>
      </w:pPr>
      <w:r>
        <w:rPr>
          <w:rFonts w:ascii="Arial" w:cs="Arial" w:eastAsia="Arial" w:hAnsi="Arial"/>
          <w:b/>
          <w:bCs/>
          <w:color w:val="8A6A1F"/>
          <w:sz w:val="16"/>
          <w:szCs w:val="16"/>
        </w:rPr>
        <w:t xml:space="preserve">▌ REVIEWER VOICE — THE BUILD</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6926"/>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692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netlify.toml</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Deploys the DEMO build — Netlify is a static host and does not run Node. Base is the client folder, command is build:demo, Node 22. Rewrites every path to index.html at status 200 so deep links and refreshes work. Declares the security headers helmet would otherwise send, with a CSP mirroring the server’s.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.github/workflows/ci.yml</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Three jobs on every push to main and every PR. client: build + CSP guard. server: tsc --noEmit + engine tests, both database-free. api: brings up a throwaway PostgreSQL 16 and runs the API, email, extraction and parity suites against it.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.claude/settings.local.json</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Local tooling preferences. The application reads nothing from it.</w:t>
            </w:r>
          </w:p>
        </w:tc>
      </w:tr>
    </w:tbl>
    <w:p>
      <w:pPr>
        <w:spacing w:after="70" w:line="285"/>
        <w:ind w:left="300" w:hanging="300"/>
      </w:pPr>
      <w:r>
        <w:rPr>
          <w:rFonts w:ascii="Arial" w:cs="Arial" w:eastAsia="Arial" w:hAnsi="Arial"/>
          <w:b/>
          <w:bCs/>
          <w:color w:val="1A1A1A"/>
          <w:sz w:val="18"/>
          <w:szCs w:val="18"/>
        </w:rPr>
        <w:t xml:space="preserve">The disclosure lives in netlify.toml.  </w:t>
      </w:r>
      <w:r>
        <w:rPr>
          <w:rFonts w:ascii="Arial" w:cs="Arial" w:eastAsia="Arial" w:hAnsi="Arial"/>
          <w:color w:val="2E2E2E"/>
          <w:sz w:val="18"/>
          <w:szCs w:val="18"/>
        </w:rPr>
        <w:t xml:space="preserve">Its opening comment states in writing that this deploys the demo build and that the API build would 404 on every /api call here. Point a panel at it rather than being caught by it.</w:t>
      </w:r>
    </w:p>
    <w:p>
      <w:pPr>
        <w:spacing w:after="70" w:line="285"/>
        <w:ind w:left="300" w:hanging="300"/>
      </w:pPr>
      <w:r>
        <w:rPr>
          <w:rFonts w:ascii="Arial" w:cs="Arial" w:eastAsia="Arial" w:hAnsi="Arial"/>
          <w:b/>
          <w:bCs/>
          <w:color w:val="1A1A1A"/>
          <w:sz w:val="18"/>
          <w:szCs w:val="18"/>
        </w:rPr>
        <w:t xml:space="preserve">Why the CSP guard is in CI.  </w:t>
      </w:r>
      <w:r>
        <w:rPr>
          <w:rFonts w:ascii="Arial" w:cs="Arial" w:eastAsia="Arial" w:hAnsi="Arial"/>
          <w:color w:val="2E2E2E"/>
          <w:sz w:val="18"/>
          <w:szCs w:val="18"/>
        </w:rPr>
        <w:t xml:space="preserve">An inline event handler or a print-pinned stylesheet in the shipped index.html is silently fatal under the policy — the site renders with critical CSS only, and no dev-server check can see it.</w:t>
      </w:r>
    </w:p>
    <w:p>
      <w:pPr>
        <w:spacing w:after="70" w:line="285"/>
        <w:ind w:left="300" w:hanging="300"/>
      </w:pPr>
      <w:r>
        <w:rPr>
          <w:rFonts w:ascii="Arial" w:cs="Arial" w:eastAsia="Arial" w:hAnsi="Arial"/>
          <w:b/>
          <w:bCs/>
          <w:color w:val="1A1A1A"/>
          <w:sz w:val="18"/>
          <w:szCs w:val="18"/>
        </w:rPr>
        <w:t xml:space="preserve">No credentials in CI.  </w:t>
      </w:r>
      <w:r>
        <w:rPr>
          <w:rFonts w:ascii="Arial" w:cs="Arial" w:eastAsia="Arial" w:hAnsi="Arial"/>
          <w:color w:val="2E2E2E"/>
          <w:sz w:val="18"/>
          <w:szCs w:val="18"/>
        </w:rPr>
        <w:t xml:space="preserve">Email runs against a local SMTP sink and extraction against a local stand-in, so nothing needs a secret and nothing costs money per pull request.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2 · The Angular client</w:t>
      </w:r>
    </w:p>
    <w:p>
      <w:pPr>
        <w:spacing w:after="130" w:before="60"/>
      </w:pPr>
      <w:r>
        <w:rPr>
          <w:rFonts w:ascii="Arial" w:cs="Arial" w:eastAsia="Arial" w:hAnsi="Arial"/>
          <w:b/>
          <w:bCs/>
          <w:color w:val="8A6A1F"/>
          <w:sz w:val="16"/>
          <w:szCs w:val="16"/>
        </w:rPr>
        <w:t xml:space="preserve">▌ REVIEWER VOICE — THE BUILD</w:t>
      </w:r>
    </w:p>
    <w:p>
      <w:pPr>
        <w:spacing w:after="110" w:before="260" w:line="290"/>
      </w:pPr>
      <w:r>
        <w:rPr>
          <w:rFonts w:ascii="Arial" w:cs="Arial" w:eastAsia="Arial" w:hAnsi="Arial"/>
          <w:b/>
          <w:bCs/>
          <w:i w:val="false"/>
          <w:iCs w:val="false"/>
          <w:color w:val="1A1A1A"/>
          <w:sz w:val="22"/>
          <w:szCs w:val="22"/>
        </w:rPr>
        <w:t xml:space="preserve">2.1  Core — the contract, the engine and the two adapters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models.ts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361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interface the API returns and the demo adapter must produce. A contract change breaks compilation in both, which keeps demo mode honest at the type level.</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engine.ts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229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Formula, education ranks, tier thresholds, the 14 design ids, skill aliases, password policy, upload limits. applyMatchSettings adopts server weights at runtime, ignoring malformed rows.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adapter.ts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115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ApiAdapter interface — the complete set of operations the site can perform, grouped by area.</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demo-adapter.ts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1,271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Complete implementation over localStorage. Seeded with Clark Outsourcing’s real departments so all three match tiers demonstrate. Imports the scoring rules rather than repeating them.</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http-adapter.ts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141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Same surface over the Express API. Thin by design — marshals arguments, holds no rules.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seo.ts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311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Everything a crawler reads that is not on the page: per-route description, canonical URL, social cards, robots directive and schema.org data, set from the seo block on each route. It exists as a service rather than as tags in index.html because one index.html serves all eighteen routes, and one shared description tells Google that /browse and /learning-hub are the same page. Its own header states the limit honestly: the app is client-rendered, so Google will render and see this and most other crawlers and link previewers will not.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api.service.ts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Reads environment.mode, constructs one adapter or the other, delegates. No page component ever learns which mode is active.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session.service.ts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38</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Holds the signed-in user as a signal for the app’s lifetime.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auth.guard.ts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Unauthenticated → /auth with the intended path; wrong role → that role’s dashboard. No role argument means any signed-in user.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unsaved-changes.guard.ts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24</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Warns before an in-app route change discards builder work. beforeunload covers closing a tab but not a header click.</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analysis.service.ts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Hands an extraction from the upload page to the builder, in memory only, so a refresh drops it.</w:t>
            </w:r>
          </w:p>
        </w:tc>
      </w:tr>
    </w:tbl>
    <w:p>
      <w:pPr>
        <w:spacing w:after="70" w:line="285"/>
        <w:ind w:left="300" w:hanging="300"/>
      </w:pPr>
      <w:r>
        <w:rPr>
          <w:rFonts w:ascii="Arial" w:cs="Arial" w:eastAsia="Arial" w:hAnsi="Arial"/>
          <w:b/>
          <w:bCs/>
          <w:color w:val="1A1A1A"/>
          <w:sz w:val="18"/>
          <w:szCs w:val="18"/>
        </w:rPr>
        <w:t xml:space="preserve">The formula.  </w:t>
      </w:r>
      <w:r>
        <w:rPr>
          <w:rFonts w:ascii="Arial" w:cs="Arial" w:eastAsia="Arial" w:hAnsi="Arial"/>
          <w:color w:val="2E2E2E"/>
          <w:sz w:val="18"/>
          <w:szCs w:val="18"/>
        </w:rPr>
        <w:t xml:space="preserve">Score = (S × 0.50 + E × 0.25 + X × 0.25) × 100, rounded with Math.floor(raw + 0.5). Strong ≥ 80, possible 50–79, related &lt; 50. Education ranks: none 0, highschool 1, vocational 2, associate 3, bachelor 4, master 5.</w:t>
      </w:r>
    </w:p>
    <w:p>
      <w:pPr>
        <w:spacing w:after="70" w:line="285"/>
        <w:ind w:left="300" w:hanging="300"/>
      </w:pPr>
      <w:r>
        <w:rPr>
          <w:rFonts w:ascii="Arial" w:cs="Arial" w:eastAsia="Arial" w:hAnsi="Arial"/>
          <w:b/>
          <w:bCs/>
          <w:color w:val="1A1A1A"/>
          <w:sz w:val="18"/>
          <w:szCs w:val="18"/>
        </w:rPr>
        <w:t xml:space="preserve">Skill vocabulary.  </w:t>
      </w:r>
      <w:r>
        <w:rPr>
          <w:rFonts w:ascii="Arial" w:cs="Arial" w:eastAsia="Arial" w:hAnsi="Arial"/>
          <w:color w:val="2E2E2E"/>
          <w:sz w:val="18"/>
          <w:szCs w:val="18"/>
        </w:rPr>
        <w:t xml:space="preserve">52 aliases resolving to 25 canonical forms — where the 72.0 percent coverage figure in your Scope was measured, against the 25 terms seeded in the skills table. Careful reproducing it: a term is covered when an alias resolves to its CANONICAL form, not to its stored skill_norm. "MS Office" is stored as msoffice but normalises to microsoftoffice, and testing the stored value marks it uncovered when it is not. Synonyms only: "Java" is never folded into "JavaScript".</w:t>
      </w:r>
    </w:p>
    <w:p>
      <w:pPr>
        <w:spacing w:after="70" w:line="285"/>
        <w:ind w:left="300" w:hanging="300"/>
      </w:pPr>
      <w:r>
        <w:rPr>
          <w:rFonts w:ascii="Arial" w:cs="Arial" w:eastAsia="Arial" w:hAnsi="Arial"/>
          <w:b/>
          <w:bCs/>
          <w:color w:val="1A1A1A"/>
          <w:sz w:val="18"/>
          <w:szCs w:val="18"/>
        </w:rPr>
        <w:t xml:space="preserve">DESIGNS names its own dependents.  </w:t>
      </w:r>
      <w:r>
        <w:rPr>
          <w:rFonts w:ascii="Arial" w:cs="Arial" w:eastAsia="Arial" w:hAnsi="Arial"/>
          <w:color w:val="2E2E2E"/>
          <w:sz w:val="18"/>
          <w:szCs w:val="18"/>
        </w:rPr>
        <w:t xml:space="preserve">A comment lists the three other places that must agree — the union in models.ts, the server whitelist, and the CHECK constraint. An unknown value falls back to classic so a resume saved by a newer build still opens on an older one.</w:t>
      </w:r>
    </w:p>
    <w:p>
      <w:pPr>
        <w:spacing w:after="110" w:before="260" w:line="290"/>
      </w:pPr>
      <w:r>
        <w:rPr>
          <w:rFonts w:ascii="Arial" w:cs="Arial" w:eastAsia="Arial" w:hAnsi="Arial"/>
          <w:b/>
          <w:bCs/>
          <w:i w:val="false"/>
          <w:iCs w:val="false"/>
          <w:color w:val="1A1A1A"/>
          <w:sz w:val="22"/>
          <w:szCs w:val="22"/>
        </w:rPr>
        <w:t xml:space="preserve">2.2  Bootstrap, styling and the build guards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styles.css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424</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whole design system as tokens on :root, with a dark theme redefining the same ones. Warm palette; emerald / slate / wine carry consistent semantic meaning across the interface.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app.routes.ts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171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URL to a lazily-loaded page, with guards attached on the route rather than inside the component. The shortest complete statement of what the site contains.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Root component: header, routed outlet, footer.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app.config.ts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Providers — router, HTTP client, zone configuration.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main.ts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Bootstraps the standalone root component.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index.html</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46</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shell Angular boots into. Everything else is components.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check-csp-safe.mjs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78</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Fails the build on an inline event handler or a print-pinned stylesheet in the built index.html.</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check-template-imports.mjs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98</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Fails the build on a template using a directive the standalone component never imported — which renders as nothing at all rather than as an error.</w:t>
            </w:r>
          </w:p>
        </w:tc>
      </w:tr>
    </w:tbl>
    <w:p>
      <w:pPr>
        <w:spacing w:after="70" w:line="285"/>
        <w:ind w:left="300" w:hanging="300"/>
      </w:pPr>
      <w:r>
        <w:rPr>
          <w:rFonts w:ascii="Arial" w:cs="Arial" w:eastAsia="Arial" w:hAnsi="Arial"/>
          <w:b/>
          <w:bCs/>
          <w:color w:val="1A1A1A"/>
          <w:sz w:val="18"/>
          <w:szCs w:val="18"/>
        </w:rPr>
        <w:t xml:space="preserve">The mode switch.  </w:t>
      </w:r>
      <w:r>
        <w:rPr>
          <w:rFonts w:ascii="Arial" w:cs="Arial" w:eastAsia="Arial" w:hAnsi="Arial"/>
          <w:color w:val="2E2E2E"/>
          <w:sz w:val="18"/>
          <w:szCs w:val="18"/>
        </w:rPr>
        <w:t xml:space="preserve">src/environments/environment.ts carries mode: "demo" or "api", and environment.prod.ts is the production variant angular.json substitutes at build time. That one field is the entire difference between the two builds at source level.</w:t>
      </w:r>
    </w:p>
    <w:p>
      <w:pPr>
        <w:spacing w:after="110" w:before="260" w:line="290"/>
      </w:pPr>
      <w:r>
        <w:rPr>
          <w:rFonts w:ascii="Arial" w:cs="Arial" w:eastAsia="Arial" w:hAnsi="Arial"/>
          <w:b/>
          <w:bCs/>
          <w:i w:val="false"/>
          <w:iCs w:val="false"/>
          <w:color w:val="1A1A1A"/>
          <w:sz w:val="22"/>
          <w:szCs w:val="22"/>
        </w:rPr>
        <w:t xml:space="preserve">2.3  Layout and shared components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tour.service.ts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211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onboarding tour — runs automatically the first time, replayable from the header. This is the objective promising a revisitable tutorial.</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focus-trap.directive.ts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110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Makes the modals keyboard-usable and screen-reader announceable. Before it, 11 of 14 tab presses in a measured run landed outside the modal.</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invalid-fields.ts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Standardises form error reporting.</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otp-input.ts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176</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Six-digit code entry for verification and password reset.</w:t>
            </w:r>
          </w:p>
        </w:tc>
      </w:tr>
    </w:tbl>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Folder</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header</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207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Per-role navigation, theme toggle, signed-in state. Replaced markup repeated across every page of the PHP version.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footer</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Largely static.</w:t>
            </w:r>
          </w:p>
        </w:tc>
      </w:tr>
    </w:tbl>
    <w:p>
      <w:pPr>
        <w:spacing w:after="110" w:before="260" w:line="290"/>
      </w:pPr>
      <w:r>
        <w:rPr>
          <w:rFonts w:ascii="Arial" w:cs="Arial" w:eastAsia="Arial" w:hAnsi="Arial"/>
          <w:b/>
          <w:bCs/>
          <w:i w:val="false"/>
          <w:iCs w:val="false"/>
          <w:color w:val="1A1A1A"/>
          <w:sz w:val="22"/>
          <w:szCs w:val="22"/>
        </w:rPr>
        <w:t xml:space="preserve">2.4  Pages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Page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resume-builder</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1,879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Seven-step wizard, live preview, all 14 designs, 3 content formats, every resume section. Labels the design stored as "categorized" as Rail on screen.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hr-applicants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895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Ranked list with scores and tiers, structured resume beside any attached file, search and filters, the six statuses, the interview invitation. Withdrawn is absent from the picker.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845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Four flows in one page: sign in, register with verification, verify a code, reset a password — plus the recruiter access request.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seeker-dashboard</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655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applicant’s home: resumes, applications with status, saved jobs, recommendations.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435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Name and password changes, code-verified email change, notification preference, and the data export and account deletion the Data Privacy Act objective promises.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resume-print</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420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export sheet — exact headings, ATS-safe fonts, single column, no tables or text boxes. This is where the parser-safe claim is true or false.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hr-posting</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575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 and edit an opening: required skills, minimum education, minimum months, closing date.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432</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Partner-company openings with search, filter and apply.</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learning-hub</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397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in-system resume and ATS guides, with scroll-tracking contents and a search that hides articles and their contents entries together.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301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Approve or decline recruiter access; assign departments so applications route to the responsible recruiter.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hr-dashboard</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275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 home — statistics strip and recent applications.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home</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300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Landing page; states the system’s promise.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upload-analyze</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274</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opt-in extraction page. The only page that touches the AI service.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my-resumes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242</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Duplicate, delete, set active.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admin-metrics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237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Anonymous aggregated study figures, with export.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hr-company</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168</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Company profile management.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privacy</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data notice, including the extraction disclosure.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not-found</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28</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404.</w:t>
            </w:r>
          </w:p>
        </w:tc>
      </w:tr>
    </w:tbl>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3 · The Node/Express server</w:t>
      </w:r>
    </w:p>
    <w:p>
      <w:pPr>
        <w:spacing w:after="130" w:before="60"/>
      </w:pPr>
      <w:r>
        <w:rPr>
          <w:rFonts w:ascii="Arial" w:cs="Arial" w:eastAsia="Arial" w:hAnsi="Arial"/>
          <w:b/>
          <w:bCs/>
          <w:color w:val="8A6A1F"/>
          <w:sz w:val="16"/>
          <w:szCs w:val="16"/>
        </w:rPr>
        <w:t xml:space="preserve">▌ REVIEWER VOICE — THE BUILD</w:t>
      </w:r>
    </w:p>
    <w:p>
      <w:pPr>
        <w:spacing w:after="110" w:before="260" w:line="290"/>
      </w:pPr>
      <w:r>
        <w:rPr>
          <w:rFonts w:ascii="Arial" w:cs="Arial" w:eastAsia="Arial" w:hAnsi="Arial"/>
          <w:b/>
          <w:bCs/>
          <w:i w:val="false"/>
          <w:iCs w:val="false"/>
          <w:color w:val="1A1A1A"/>
          <w:sz w:val="22"/>
          <w:szCs w:val="22"/>
        </w:rPr>
        <w:t xml:space="preserve">3.1  Shell, configuration and data access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server.ts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Express, PostgreSQL-backed sessions, CORS to the configured origin, helmet, static uploads, routers under /api. Runs migrations at startup.</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config.ts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141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only file you edit to move machines or hosts; every value overridable by an environment variable. Database, port, origin, session secret, uploads, SMTP, Gemini.</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db.ts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97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node-postgres wrapper. A shim rewrites MySQL-style ? placeholders to $1, $2 — which made the migration a change to one file rather than to every query. DATE columns stay date-only strings.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types.ts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Database row shapes, kept distinct from the serialized API types.</w:t>
            </w:r>
          </w:p>
        </w:tc>
      </w:tr>
    </w:tbl>
    <w:p>
      <w:pPr>
        <w:spacing w:after="70" w:line="285"/>
        <w:ind w:left="300" w:hanging="300"/>
      </w:pPr>
      <w:r>
        <w:rPr>
          <w:rFonts w:ascii="Arial" w:cs="Arial" w:eastAsia="Arial" w:hAnsi="Arial"/>
          <w:b/>
          <w:bCs/>
          <w:color w:val="1A1A1A"/>
          <w:sz w:val="18"/>
          <w:szCs w:val="18"/>
        </w:rPr>
        <w:t xml:space="preserve">TRUST_PROXY matters.  </w:t>
      </w:r>
      <w:r>
        <w:rPr>
          <w:rFonts w:ascii="Arial" w:cs="Arial" w:eastAsia="Arial" w:hAnsi="Arial"/>
          <w:color w:val="2E2E2E"/>
          <w:sz w:val="18"/>
          <w:szCs w:val="18"/>
        </w:rPr>
        <w:t xml:space="preserve">Behind a reverse proxy every client shares the proxy’s IP until it is set, which would make the rate limiters useless. The rate-limit file says so at the top.</w:t>
      </w:r>
    </w:p>
    <w:p>
      <w:pPr>
        <w:spacing w:after="70" w:line="285"/>
        <w:ind w:left="300" w:hanging="300"/>
      </w:pPr>
      <w:r>
        <w:rPr>
          <w:rFonts w:ascii="Arial" w:cs="Arial" w:eastAsia="Arial" w:hAnsi="Arial"/>
          <w:b/>
          <w:bCs/>
          <w:color w:val="1A1A1A"/>
          <w:sz w:val="18"/>
          <w:szCs w:val="18"/>
        </w:rPr>
        <w:t xml:space="preserve">Parameterised throughout.  </w:t>
      </w:r>
      <w:r>
        <w:rPr>
          <w:rFonts w:ascii="Arial" w:cs="Arial" w:eastAsia="Arial" w:hAnsi="Arial"/>
          <w:color w:val="2E2E2E"/>
          <w:sz w:val="18"/>
          <w:szCs w:val="18"/>
        </w:rPr>
        <w:t xml:space="preserve">No query is assembled by string concatenation — that is the SQL-injection answer.</w:t>
      </w:r>
    </w:p>
    <w:p>
      <w:pPr>
        <w:spacing w:after="110" w:before="260" w:line="290"/>
      </w:pPr>
      <w:r>
        <w:rPr>
          <w:rFonts w:ascii="Arial" w:cs="Arial" w:eastAsia="Arial" w:hAnsi="Arial"/>
          <w:b/>
          <w:bCs/>
          <w:i w:val="false"/>
          <w:iCs w:val="false"/>
          <w:color w:val="1A1A1A"/>
          <w:sz w:val="22"/>
          <w:szCs w:val="22"/>
        </w:rPr>
        <w:t xml:space="preserve">3.2  lib — the rules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engine.ts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284</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authoritative scoring implementation. Rule-based only; the uploaded file is scored by the same arithmetic. Reads weights and thresholds from match_settings.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extract.ts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282</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Gemini document extraction. The model extracts and does not score, rank or decide. Output treated as untrusted: every field coerced, every length clamped, every list capped.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serializers.ts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263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Rows to API JSON — the single place that conversion happens. IDs cast to strings so the client can compare strictly, as demo mode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migrate.ts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161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Idempotent schema upgrades at boot, so a fresh database has nothing to do and an older one catches up. Reads as a history of what was added after the first schema.</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notify.ts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172</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Application-event emails, respecting the user’s preference, fire-and-forget so a mail failure never fails the request. Wording mirrors the promise that every status is a human decision.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mailer.ts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nodemailer wrapper; centralises whether a real send happens.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email-codes.ts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Six-digit codes for verification, reset and email change, with attempts and expiry. Creates its own table if the database predates the feature.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parse-resume.ts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555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Reads an uploaded document into structured fields with NO language model — section headings, regular expressions, date arithmetic, and a lookup against the same skill vocabulary the engine scores with, through the same skillNorm(). It is the alternative to lib/extract.ts, which sends the document to Gemini, and it costs the study none of what that costs: no exception to the no-AI delimitation, no disclosure that applicant data leaves the country, and no dependency on a network service the demo build cannot reach. Do not describe it as AI at a defence — it is pattern matching, it reads a plain single-column résumé well and a two-column or scanned one badly, and when it cannot read a field it reports a failure rather than guessing a value in.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file-type.ts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Validates uploads by inspecting content, not the declared MIME type — which is user input.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rate-limit.ts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Ten failed logins per 15 minutes per client-and-email pair; successful logins never count. In-memory and fixed-window, which the file states is right-sized for a single-process pilot.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async-router.ts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Turns a rejected promise into a proper error response rather than a hung request.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32</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Resolves the session user; requireUser sends a 401 so callers guard in one line.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http.ts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Standardises the ok and fail response shapes.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password policy, shared with the client so both enforce the same rule.</w:t>
            </w:r>
          </w:p>
        </w:tc>
      </w:tr>
    </w:tbl>
    <w:p>
      <w:pPr>
        <w:spacing w:after="70" w:line="285"/>
        <w:ind w:left="300" w:hanging="300"/>
      </w:pPr>
      <w:r>
        <w:rPr>
          <w:rFonts w:ascii="Arial" w:cs="Arial" w:eastAsia="Arial" w:hAnsi="Arial"/>
          <w:b/>
          <w:bCs/>
          <w:color w:val="1A1A1A"/>
          <w:sz w:val="18"/>
          <w:szCs w:val="18"/>
        </w:rPr>
        <w:t xml:space="preserve">The file to open if challenged on AI.  </w:t>
      </w:r>
      <w:r>
        <w:rPr>
          <w:rFonts w:ascii="Arial" w:cs="Arial" w:eastAsia="Arial" w:hAnsi="Arial"/>
          <w:color w:val="2E2E2E"/>
          <w:sz w:val="18"/>
          <w:szCs w:val="18"/>
        </w:rPr>
        <w:t xml:space="preserve">lib/engine.ts is short, readable, and contains no branch a panelist could mistake for a model. lib/extract.ts states the boundary in its header, and analyze.test.ts asserts no score is ever returned from that route.</w:t>
      </w:r>
    </w:p>
    <w:p>
      <w:pPr>
        <w:spacing w:after="70" w:line="285"/>
        <w:ind w:left="300" w:hanging="300"/>
      </w:pPr>
      <w:r>
        <w:rPr>
          <w:rFonts w:ascii="Arial" w:cs="Arial" w:eastAsia="Arial" w:hAnsi="Arial"/>
          <w:b/>
          <w:bCs/>
          <w:color w:val="1A1A1A"/>
          <w:sz w:val="18"/>
          <w:szCs w:val="18"/>
        </w:rPr>
        <w:t xml:space="preserve">Why the alias table exists.  </w:t>
      </w:r>
      <w:r>
        <w:rPr>
          <w:rFonts w:ascii="Arial" w:cs="Arial" w:eastAsia="Arial" w:hAnsi="Arial"/>
          <w:color w:val="2E2E2E"/>
          <w:sz w:val="18"/>
          <w:szCs w:val="18"/>
        </w:rPr>
        <w:t xml:space="preserve">Its comment gives the reasoning, not the mechanism: without it, matching is literal, so "JS" earns nothing against "JavaScript" — a false negative created purely by vocabulary, which is the exact unfairness this project argues against.</w:t>
      </w:r>
    </w:p>
    <w:p>
      <w:pPr>
        <w:spacing w:after="110" w:before="260" w:line="290"/>
      </w:pPr>
      <w:r>
        <w:rPr>
          <w:rFonts w:ascii="Arial" w:cs="Arial" w:eastAsia="Arial" w:hAnsi="Arial"/>
          <w:b/>
          <w:bCs/>
          <w:i w:val="false"/>
          <w:iCs w:val="false"/>
          <w:color w:val="1A1A1A"/>
          <w:sz w:val="22"/>
          <w:szCs w:val="22"/>
        </w:rPr>
        <w:t xml:space="preserve">3.3  routes — the API surface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423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Register with verification, login with a timing equaliser on failure, logout, me, send-code, reset, name/email/password changes, notification preference, recruiter request, data export and account deletion.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402</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Apply, the applicant’s list, the recruiter’s ranked list, status change with its history row, seeker-only withdraw, status history, interview invitation.</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383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Full resume lifecycle plus the file upload, the design whitelist and file removal.</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admin.ts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257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 access requests, approve, decline, recruiter list, department assignments.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postings.ts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228</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 update, list and close openings; lazy auto-close on a passed deadline.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match.ts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114</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Settings, the score for a resume against a posting, related-position recommendations.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metrics.ts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106</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Anonymous aggregates. The only route that exists for the research rather than the system.</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companies.ts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Company profile.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file.ts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Serves an upload only to its owner or a recruiter of the company applied to.</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stats.ts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Dashboard figures.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saved.ts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42</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Saved-jobs toggle and list.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analyze.ts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Thin — the work is in lib/extract.ts.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create-admin.ts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Creates the administrator account. There is no self-service route to that role; it is a governance role.</w:t>
            </w:r>
          </w:p>
        </w:tc>
      </w:tr>
    </w:tbl>
    <w:p>
      <w:pPr>
        <w:spacing w:after="70" w:line="285"/>
        <w:ind w:left="300" w:hanging="300"/>
      </w:pPr>
      <w:r>
        <w:rPr>
          <w:rFonts w:ascii="Arial" w:cs="Arial" w:eastAsia="Arial" w:hAnsi="Arial"/>
          <w:b/>
          <w:bCs/>
          <w:color w:val="1A1A1A"/>
          <w:sz w:val="18"/>
          <w:szCs w:val="18"/>
        </w:rPr>
        <w:t xml:space="preserve">Where "never rejects automatically" is enforced.  </w:t>
      </w:r>
      <w:r>
        <w:rPr>
          <w:rFonts w:ascii="Arial" w:cs="Arial" w:eastAsia="Arial" w:hAnsi="Arial"/>
          <w:color w:val="2E2E2E"/>
          <w:sz w:val="18"/>
          <w:szCs w:val="18"/>
        </w:rPr>
        <w:t xml:space="preserve">Nothing in applications.ts filters an applicant out by score, and the six statuses are constrained in the database as well as in the route. Withdrawn cannot be set by a recruiter.</w:t>
      </w:r>
    </w:p>
    <w:p>
      <w:pPr>
        <w:spacing w:after="70" w:line="285"/>
        <w:ind w:left="300" w:hanging="300"/>
      </w:pPr>
      <w:r>
        <w:rPr>
          <w:rFonts w:ascii="Arial" w:cs="Arial" w:eastAsia="Arial" w:hAnsi="Arial"/>
          <w:b/>
          <w:bCs/>
          <w:color w:val="1A1A1A"/>
          <w:sz w:val="18"/>
          <w:szCs w:val="18"/>
        </w:rPr>
        <w:t xml:space="preserve">Where the audit trail is written.  </w:t>
      </w:r>
      <w:r>
        <w:rPr>
          <w:rFonts w:ascii="Arial" w:cs="Arial" w:eastAsia="Arial" w:hAnsi="Arial"/>
          <w:color w:val="2E2E2E"/>
          <w:sz w:val="18"/>
          <w:szCs w:val="18"/>
        </w:rPr>
        <w:t xml:space="preserve">Every status change inserts into application_status_history with changed_by and changed_at.</w:t>
      </w:r>
    </w:p>
    <w:p>
      <w:pPr>
        <w:spacing w:after="110" w:before="260" w:line="290"/>
      </w:pPr>
      <w:r>
        <w:rPr>
          <w:rFonts w:ascii="Arial" w:cs="Arial" w:eastAsia="Arial" w:hAnsi="Arial"/>
          <w:b/>
          <w:bCs/>
          <w:i w:val="false"/>
          <w:iCs w:val="false"/>
          <w:color w:val="1A1A1A"/>
          <w:sz w:val="22"/>
          <w:szCs w:val="22"/>
        </w:rPr>
        <w:t xml:space="preserve">3.4  The scoring engine, in full</w:t>
      </w:r>
    </w:p>
    <w:p>
      <w:pPr>
        <w:spacing w:after="110" w:before="0" w:line="285"/>
      </w:pPr>
      <w:r>
        <w:rPr>
          <w:rFonts w:ascii="Arial" w:cs="Arial" w:eastAsia="Arial" w:hAnsi="Arial"/>
          <w:b w:val="false"/>
          <w:bCs w:val="false"/>
          <w:i w:val="false"/>
          <w:iCs w:val="false"/>
          <w:color w:val="1A1A1A"/>
          <w:sz w:val="19"/>
          <w:szCs w:val="19"/>
        </w:rPr>
        <w:t xml:space="preserve">This is the section to read before the defense. Everything the system claims about fairness rests on twenty-six lines of engine.ts, and a panelist who asks you to derive a score by hand is asking about these.</w:t>
      </w:r>
    </w:p>
    <w:p>
      <w:pPr>
        <w:pBdr>
          <w:left w:val="single" w:color="B9B1A4" w:sz="14" w:space="6"/>
        </w:pBdr>
        <w:shd w:fill="F4F2ED" w:val="clear"/>
        <w:spacing w:after="120" w:before="120" w:line="260"/>
        <w:ind w:left="160" w:right="120"/>
      </w:pPr>
      <w:r>
        <w:rPr>
          <w:rFonts w:ascii="Consolas" w:cs="Consolas" w:eastAsia="Consolas" w:hAnsi="Consolas"/>
          <w:b w:val="false"/>
          <w:bCs w:val="false"/>
          <w:i w:val="false"/>
          <w:iCs w:val="false"/>
          <w:color w:val="1A1A1A"/>
          <w:sz w:val="17"/>
          <w:szCs w:val="17"/>
        </w:rPr>
        <w:t xml:space="preserve">const W = weightsFor(cfg, posting);       // posting weights, else site defaults</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skillPart = required.length ? matched.length / required.length : 1.0</w:t>
      </w:r>
      <w:r>
        <w:br/>
      </w:r>
      <w:r>
        <w:rPr>
          <w:rFonts w:ascii="Consolas" w:cs="Consolas" w:eastAsia="Consolas" w:hAnsi="Consolas"/>
          <w:b w:val="false"/>
          <w:bCs w:val="false"/>
          <w:i w:val="false"/>
          <w:iCs w:val="false"/>
          <w:color w:val="1A1A1A"/>
          <w:sz w:val="17"/>
          <w:szCs w:val="17"/>
        </w:rPr>
        <w:t xml:space="preserve">eduPart   = reqEdu === 0    ? 1.0 : Math.min(1.0, seekerEdu / reqEdu)</w:t>
      </w:r>
      <w:r>
        <w:br/>
      </w:r>
      <w:r>
        <w:rPr>
          <w:rFonts w:ascii="Consolas" w:cs="Consolas" w:eastAsia="Consolas" w:hAnsi="Consolas"/>
          <w:b w:val="false"/>
          <w:bCs w:val="false"/>
          <w:i w:val="false"/>
          <w:iCs w:val="false"/>
          <w:color w:val="1A1A1A"/>
          <w:sz w:val="17"/>
          <w:szCs w:val="17"/>
        </w:rPr>
        <w:t xml:space="preserve">expPart   = reqMonths &lt;= 0  ? 1.0 : Math.min(1.0, months / reqMonths)</w:t>
      </w:r>
      <w:r>
        <w:br/>
      </w:r>
      <w:r>
        <w:rPr>
          <w:rFonts w:ascii="Consolas" w:cs="Consolas" w:eastAsia="Consolas" w:hAnsi="Consolas"/>
          <w:b w:val="false"/>
          <w:bCs w:val="false"/>
          <w:i w:val="false"/>
          <w:iCs w:val="false"/>
          <w:color w:val="1A1A1A"/>
          <w:sz w:val="17"/>
          <w:szCs w:val="17"/>
        </w:rPr>
        <w:t xml:space="preserve"/>
      </w:r>
      <w:r>
        <w:br/>
      </w:r>
      <w:r>
        <w:rPr>
          <w:rFonts w:ascii="Consolas" w:cs="Consolas" w:eastAsia="Consolas" w:hAnsi="Consolas"/>
          <w:b w:val="false"/>
          <w:bCs w:val="false"/>
          <w:i w:val="false"/>
          <w:iCs w:val="false"/>
          <w:color w:val="1A1A1A"/>
          <w:sz w:val="17"/>
          <w:szCs w:val="17"/>
        </w:rPr>
        <w:t xml:space="preserve">raw   = (skillPart * W.skills + eduPart * W.education + expPart * W.experience) * 100</w:t>
      </w:r>
      <w:r>
        <w:br/>
      </w:r>
      <w:r>
        <w:rPr>
          <w:rFonts w:ascii="Consolas" w:cs="Consolas" w:eastAsia="Consolas" w:hAnsi="Consolas"/>
          <w:b w:val="false"/>
          <w:bCs w:val="false"/>
          <w:i w:val="false"/>
          <w:iCs w:val="false"/>
          <w:color w:val="1A1A1A"/>
          <w:sz w:val="17"/>
          <w:szCs w:val="17"/>
        </w:rPr>
        <w:t xml:space="preserve">total = Math.floor(raw + 0.5)            // half-up, stated explicitly</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153"/>
        <w:gridCol w:w="3557"/>
        <w:gridCol w:w="3650"/>
      </w:tblGrid>
      <w:tr>
        <w:trPr>
          <w:tblHeader/>
        </w:trPr>
        <w:tc>
          <w:tcPr>
            <w:tcW w:type="dxa" w:w="215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Decision</w:t>
            </w:r>
          </w:p>
        </w:tc>
        <w:tc>
          <w:tcPr>
            <w:tcW w:type="dxa" w:w="355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c>
          <w:tcPr>
            <w:tcW w:type="dxa" w:w="365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Why it is defensible</w:t>
            </w:r>
          </w:p>
        </w:tc>
      </w:tr>
      <w:tr>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Unspecified requirement scores 1.0</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posting that names no required skills, no education level or no months gives every applicant full marks for that component.</w:t>
            </w:r>
          </w:p>
        </w:tc>
        <w:tc>
          <w:tcPr>
            <w:tcW w:type="dxa" w:w="365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alternative is to penalise an applicant for something the recruiter never asked for.</w:t>
            </w:r>
          </w:p>
        </w:tc>
      </w:tr>
      <w:tr>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Both components capped at 1.0</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Exceeding a requirement earns nothing extra. A master’s against a high-school requirement scores the same as a high-school certificate.</w:t>
            </w:r>
          </w:p>
        </w:tc>
        <w:tc>
          <w:tcPr>
            <w:tcW w:type="dxa" w:w="365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Without the cap, over-qualification would outrank fit, which is the opposite of what a screening tool is for.</w:t>
            </w:r>
          </w:p>
        </w:tc>
      </w:tr>
      <w:tr>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 is a RANK ratio, not a match</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seekerEdu / reqEdu over none 0, highschool 1, vocational 2, associate 3, bachelor 4, master 5.</w:t>
            </w:r>
          </w:p>
        </w:tc>
        <w:tc>
          <w:tcPr>
            <w:tcW w:type="dxa" w:w="365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Know the weakness: it assumes a degree always outranks a vocational qualification. Item 13 of Instrument B asks recruiters whether that is true.</w:t>
            </w:r>
          </w:p>
        </w:tc>
      </w:tr>
      <w:tr>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Experience is a SUM of months</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entry on the résumé added together, then compared with the posting’s minimum.</w:t>
            </w:r>
          </w:p>
        </w:tc>
        <w:tc>
          <w:tcPr>
            <w:tcW w:type="dxa" w:w="365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It measures duration, not relevance — stated in the delimitations, and the reason skills carry double weight.</w:t>
            </w:r>
          </w:p>
        </w:tc>
      </w:tr>
      <w:tr>
        <w:tc>
          <w:tcPr>
            <w:tcW w:type="dxa" w:w="215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Half-up rounding, written out</w:t>
            </w:r>
          </w:p>
        </w:tc>
        <w:tc>
          <w:tcPr>
            <w:tcW w:type="dxa" w:w="355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Math.floor(raw + 0.5) rather than Math.round.</w:t>
            </w:r>
          </w:p>
        </w:tc>
        <w:tc>
          <w:tcPr>
            <w:tcW w:type="dxa" w:w="365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comment on that line says it must match the PHP build’s score(). Two implementations rounding differently is how a parity suite earns its keep.</w:t>
            </w:r>
          </w:p>
        </w:tc>
      </w:tr>
    </w:tbl>
    <w:p>
      <w:pPr>
        <w:spacing w:after="70" w:line="285"/>
        <w:ind w:left="300" w:hanging="300"/>
      </w:pPr>
      <w:r>
        <w:rPr>
          <w:rFonts w:ascii="Arial" w:cs="Arial" w:eastAsia="Arial" w:hAnsi="Arial"/>
          <w:b/>
          <w:bCs/>
          <w:color w:val="1A1A1A"/>
          <w:sz w:val="18"/>
          <w:szCs w:val="18"/>
        </w:rPr>
        <w:t xml:space="preserve">Where the weights come from.  </w:t>
      </w:r>
      <w:r>
        <w:rPr>
          <w:rFonts w:ascii="Arial" w:cs="Arial" w:eastAsia="Arial" w:hAnsi="Arial"/>
          <w:color w:val="2E2E2E"/>
          <w:sz w:val="18"/>
          <w:szCs w:val="18"/>
        </w:rPr>
        <w:t xml:space="preserve">weightsFor() takes the posting’s three values only when all three are present, finite, non-negative and sum to exactly 100; anything else silently falls back to the site defaults rather than rescaling. It is also the ONLY place percentages become fractions — the wire, the database and the interface all speak whole percentages, and the engine alone divides by a hundred.</w:t>
      </w:r>
    </w:p>
    <w:p>
      <w:pPr>
        <w:spacing w:after="70" w:line="285"/>
        <w:ind w:left="300" w:hanging="300"/>
      </w:pPr>
      <w:r>
        <w:rPr>
          <w:rFonts w:ascii="Arial" w:cs="Arial" w:eastAsia="Arial" w:hAnsi="Arial"/>
          <w:b/>
          <w:bCs/>
          <w:color w:val="1A1A1A"/>
          <w:sz w:val="18"/>
          <w:szCs w:val="18"/>
        </w:rPr>
        <w:t xml:space="preserve">Tiers are configuration, not code.  </w:t>
      </w:r>
      <w:r>
        <w:rPr>
          <w:rFonts w:ascii="Arial" w:cs="Arial" w:eastAsia="Arial" w:hAnsi="Arial"/>
          <w:color w:val="2E2E2E"/>
          <w:sz w:val="18"/>
          <w:szCs w:val="18"/>
        </w:rPr>
        <w:t xml:space="preserve">Strong at 80 and up, possible from 50 to 79, related below 50 — read from match_settings, so a partner company could retune them without a rebuild. The thresholds are the researchers’ own and the paper says so.</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4 · Database</w:t>
      </w:r>
    </w:p>
    <w:p>
      <w:pPr>
        <w:spacing w:after="130" w:before="60"/>
      </w:pPr>
      <w:r>
        <w:rPr>
          <w:rFonts w:ascii="Arial" w:cs="Arial" w:eastAsia="Arial" w:hAnsi="Arial"/>
          <w:b/>
          <w:bCs/>
          <w:color w:val="8A6A1F"/>
          <w:sz w:val="16"/>
          <w:szCs w:val="16"/>
        </w:rPr>
        <w:t xml:space="preserve">▌ REVIEWER VOICE — THE BUILD</w:t>
      </w:r>
    </w:p>
    <w:p>
      <w:pPr>
        <w:spacing w:after="110" w:before="0" w:line="285"/>
      </w:pPr>
      <w:r>
        <w:rPr>
          <w:rFonts w:ascii="Arial" w:cs="Arial" w:eastAsia="Arial" w:hAnsi="Arial"/>
          <w:b w:val="false"/>
          <w:bCs w:val="false"/>
          <w:i w:val="false"/>
          <w:iCs w:val="false"/>
          <w:color w:val="1A1A1A"/>
          <w:sz w:val="19"/>
          <w:szCs w:val="19"/>
        </w:rPr>
        <w:t xml:space="preserve">One file, 627 lines: 21 tables with constraints, indexes and 28 seed inserts. Setup is one command rather than assembling a schema and a seed from separate sources.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808"/>
        <w:gridCol w:w="6552"/>
      </w:tblGrid>
      <w:tr>
        <w:trPr>
          <w:tblHeader/>
        </w:trPr>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Group</w:t>
            </w:r>
          </w:p>
        </w:tc>
        <w:tc>
          <w:tcPr>
            <w:tcW w:type="dxa" w:w="655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Tables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Accounts and access</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companies · users · recruiter_requests · email_codes · department_assignments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 and its sections</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resumes · education · work_experience · certifications · projects · resume_languages · resume_references · skills · resume_skills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Companies and postings</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job_postings · posting_skills · saved_jobs</w:t>
            </w:r>
          </w:p>
        </w:tc>
      </w:tr>
      <w:tr>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 and matching</w:t>
            </w:r>
          </w:p>
        </w:tc>
        <w:tc>
          <w:tcPr>
            <w:tcW w:type="dxa" w:w="655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 · application_status_history · match_scores · match_settings</w:t>
            </w:r>
          </w:p>
        </w:tc>
      </w:tr>
    </w:tbl>
    <w:p>
      <w:pPr>
        <w:spacing w:after="70" w:line="285"/>
        <w:ind w:left="300" w:hanging="300"/>
      </w:pPr>
      <w:r>
        <w:rPr>
          <w:rFonts w:ascii="Arial" w:cs="Arial" w:eastAsia="Arial" w:hAnsi="Arial"/>
          <w:b/>
          <w:bCs/>
          <w:color w:val="1A1A1A"/>
          <w:sz w:val="18"/>
          <w:szCs w:val="18"/>
        </w:rPr>
        <w:t xml:space="preserve">The status CHECK constraint.  </w:t>
      </w:r>
      <w:r>
        <w:rPr>
          <w:rFonts w:ascii="Arial" w:cs="Arial" w:eastAsia="Arial" w:hAnsi="Arial"/>
          <w:color w:val="2E2E2E"/>
          <w:sz w:val="18"/>
          <w:szCs w:val="18"/>
        </w:rPr>
        <w:t xml:space="preserve">applications.status lists the six permitted values at the database level, so an invalid status cannot enter even if application code has a bug — and the audit trail depends on status being meaningful.</w:t>
      </w:r>
    </w:p>
    <w:p>
      <w:pPr>
        <w:spacing w:after="70" w:line="285"/>
        <w:ind w:left="300" w:hanging="300"/>
      </w:pPr>
      <w:r>
        <w:rPr>
          <w:rFonts w:ascii="Arial" w:cs="Arial" w:eastAsia="Arial" w:hAnsi="Arial"/>
          <w:b/>
          <w:bCs/>
          <w:color w:val="1A1A1A"/>
          <w:sz w:val="18"/>
          <w:szCs w:val="18"/>
        </w:rPr>
        <w:t xml:space="preserve">match_settings has no foreign keys.  </w:t>
      </w:r>
      <w:r>
        <w:rPr>
          <w:rFonts w:ascii="Arial" w:cs="Arial" w:eastAsia="Arial" w:hAnsi="Arial"/>
          <w:color w:val="2E2E2E"/>
          <w:sz w:val="18"/>
          <w:szCs w:val="18"/>
        </w:rPr>
        <w:t xml:space="preserve">It holds the weights and thresholds as configuration rows. That isolation is the structural proof of the configurability claim in your Scope — point at it rather than asserting it.</w:t>
      </w:r>
    </w:p>
    <w:p>
      <w:pPr>
        <w:spacing w:after="70" w:line="285"/>
        <w:ind w:left="300" w:hanging="300"/>
      </w:pPr>
      <w:r>
        <w:rPr>
          <w:rFonts w:ascii="Arial" w:cs="Arial" w:eastAsia="Arial" w:hAnsi="Arial"/>
          <w:b/>
          <w:bCs/>
          <w:color w:val="1A1A1A"/>
          <w:sz w:val="18"/>
          <w:szCs w:val="18"/>
        </w:rPr>
        <w:t xml:space="preserve">Why PostgreSQL over MySQL.  </w:t>
      </w:r>
      <w:r>
        <w:rPr>
          <w:rFonts w:ascii="Arial" w:cs="Arial" w:eastAsia="Arial" w:hAnsi="Arial"/>
          <w:color w:val="2E2E2E"/>
          <w:sz w:val="18"/>
          <w:szCs w:val="18"/>
        </w:rPr>
        <w:t xml:space="preserve">CHECK constraints on status, transactional schema changes so a failed migration cannot leave the database half-updated, and a managed free tier through Supabase. Changed during system design, before development.</w:t>
      </w:r>
    </w:p>
    <w:p>
      <w:pPr>
        <w:spacing w:after="70" w:line="285"/>
        <w:ind w:left="300" w:hanging="300"/>
      </w:pPr>
      <w:r>
        <w:rPr>
          <w:rFonts w:ascii="Arial" w:cs="Arial" w:eastAsia="Arial" w:hAnsi="Arial"/>
          <w:b/>
          <w:bCs/>
          <w:color w:val="1A1A1A"/>
          <w:sz w:val="18"/>
          <w:szCs w:val="18"/>
        </w:rPr>
        <w:t xml:space="preserve">Nine tables postdate the manuscript ERD.  </w:t>
      </w:r>
      <w:r>
        <w:rPr>
          <w:rFonts w:ascii="Arial" w:cs="Arial" w:eastAsia="Arial" w:hAnsi="Arial"/>
          <w:color w:val="2E2E2E"/>
          <w:sz w:val="18"/>
          <w:szCs w:val="18"/>
        </w:rPr>
        <w:t xml:space="preserve">projects, resume_languages, resume_references, saved_jobs, department_assignments, recruiter_requests, email_codes, application_status_history and match_settings — which is why Figure 5 was regenerated.</w:t>
      </w:r>
    </w:p>
    <w:p>
      <w:pPr>
        <w:spacing w:after="110" w:before="260" w:line="290"/>
      </w:pPr>
      <w:r>
        <w:rPr>
          <w:rFonts w:ascii="Arial" w:cs="Arial" w:eastAsia="Arial" w:hAnsi="Arial"/>
          <w:b/>
          <w:bCs/>
          <w:i w:val="false"/>
          <w:iCs w:val="false"/>
          <w:color w:val="1A1A1A"/>
          <w:sz w:val="22"/>
          <w:szCs w:val="22"/>
        </w:rPr>
        <w:t xml:space="preserve">4.2  What the database refuses to store</w:t>
      </w:r>
    </w:p>
    <w:p>
      <w:pPr>
        <w:spacing w:after="110" w:before="0" w:line="285"/>
      </w:pPr>
      <w:r>
        <w:rPr>
          <w:rFonts w:ascii="Arial" w:cs="Arial" w:eastAsia="Arial" w:hAnsi="Arial"/>
          <w:b w:val="false"/>
          <w:bCs w:val="false"/>
          <w:i w:val="false"/>
          <w:iCs w:val="false"/>
          <w:color w:val="1A1A1A"/>
          <w:sz w:val="19"/>
          <w:szCs w:val="19"/>
        </w:rPr>
        <w:t xml:space="preserve">Fourteen CHECK constraints, read from the live catalogue. They matter because they are the one layer an application bug cannot talk its way past — if a value is wrong the insert fails rather than the data quietly becoming wrong.</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6926"/>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Table</w:t>
            </w:r>
          </w:p>
        </w:tc>
        <w:tc>
          <w:tcPr>
            <w:tcW w:type="dxa" w:w="692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The rule</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users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role is exactly one of seeker, recruiter, admin</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job_postings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weights are ALL NULL, or all three present, summing to 100 with none below 10</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job_postings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education_level from the six ranks; employment_type from four; status open or closed</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status from submitted, review, shortlisted, rejected, hired, withdrawn</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application_status_history</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same six values, on both the old and the new status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education</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level from none, highschool, vocational, associate, bachelor, master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resumes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template_type from the three content formats; design from the fourteen named designs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skills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category is technical or soft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recruiter_requests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status pending, approved or declined</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email_codes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purpose is verify or reset</w:t>
            </w:r>
          </w:p>
        </w:tc>
      </w:tr>
    </w:tbl>
    <w:p>
      <w:pPr>
        <w:spacing w:after="70" w:line="285"/>
        <w:ind w:left="300" w:hanging="300"/>
      </w:pPr>
      <w:r>
        <w:rPr>
          <w:rFonts w:ascii="Arial" w:cs="Arial" w:eastAsia="Arial" w:hAnsi="Arial"/>
          <w:b/>
          <w:bCs/>
          <w:color w:val="1A1A1A"/>
          <w:sz w:val="18"/>
          <w:szCs w:val="18"/>
        </w:rPr>
        <w:t xml:space="preserve">The weights constraint is the one to quote.  </w:t>
      </w:r>
      <w:r>
        <w:rPr>
          <w:rFonts w:ascii="Arial" w:cs="Arial" w:eastAsia="Arial" w:hAnsi="Arial"/>
          <w:color w:val="2E2E2E"/>
          <w:sz w:val="18"/>
          <w:szCs w:val="18"/>
        </w:rPr>
        <w:t xml:space="preserve">It encodes a policy decision, not a data type: a recruiter may decide education matters less for a role, but may not switch a criterion off entirely. The floor of ten percent lives in three places — this constraint, routes/postings.ts, and the demo adapter — and the API suite asserts all four malformed shapes are rejected.</w:t>
      </w:r>
    </w:p>
    <w:p>
      <w:pPr>
        <w:spacing w:after="70" w:line="285"/>
        <w:ind w:left="300" w:hanging="300"/>
      </w:pPr>
      <w:r>
        <w:rPr>
          <w:rFonts w:ascii="Arial" w:cs="Arial" w:eastAsia="Arial" w:hAnsi="Arial"/>
          <w:b/>
          <w:bCs/>
          <w:color w:val="1A1A1A"/>
          <w:sz w:val="18"/>
          <w:szCs w:val="18"/>
        </w:rPr>
        <w:t xml:space="preserve">The design list names its own dependents.  </w:t>
      </w:r>
      <w:r>
        <w:rPr>
          <w:rFonts w:ascii="Arial" w:cs="Arial" w:eastAsia="Arial" w:hAnsi="Arial"/>
          <w:color w:val="2E2E2E"/>
          <w:sz w:val="18"/>
          <w:szCs w:val="18"/>
        </w:rPr>
        <w:t xml:space="preserve">Fourteen values here must agree with the union in models.ts, the server whitelist and the DESIGNS constant. A comment in the source lists all four places, because a fifteenth design added in one of them and not the others fails at insert time.</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5 · One application, end to end</w:t>
      </w:r>
    </w:p>
    <w:p>
      <w:pPr>
        <w:spacing w:after="130" w:before="60"/>
      </w:pPr>
      <w:r>
        <w:rPr>
          <w:rFonts w:ascii="Arial" w:cs="Arial" w:eastAsia="Arial" w:hAnsi="Arial"/>
          <w:b/>
          <w:bCs/>
          <w:color w:val="8A6A1F"/>
          <w:sz w:val="16"/>
          <w:szCs w:val="16"/>
        </w:rPr>
        <w:t xml:space="preserve">▌ REVIEWER VOICE — THE BUILD</w:t>
      </w:r>
    </w:p>
    <w:p>
      <w:pPr>
        <w:spacing w:after="110" w:before="0" w:line="285"/>
      </w:pPr>
      <w:r>
        <w:rPr>
          <w:rFonts w:ascii="Arial" w:cs="Arial" w:eastAsia="Arial" w:hAnsi="Arial"/>
          <w:b w:val="false"/>
          <w:bCs w:val="false"/>
          <w:i w:val="false"/>
          <w:iCs w:val="false"/>
          <w:color w:val="1A1A1A"/>
          <w:sz w:val="19"/>
          <w:szCs w:val="19"/>
        </w:rPr>
        <w:t xml:space="preserve">The single most useful thing to be able to narrate at a defense: what happens between an applicant pressing Apply and a recruiter seeing them in a ranked list. Route names are from routes/applications.ts.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562"/>
        <w:gridCol w:w="2808"/>
        <w:gridCol w:w="5990"/>
      </w:tblGrid>
      <w:tr>
        <w:trPr>
          <w:tblHeader/>
        </w:trPr>
        <w:tc>
          <w:tcPr>
            <w:tcW w:type="dxa" w:w="56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t>
            </w:r>
          </w:p>
        </w:tc>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Where</w:t>
            </w:r>
          </w:p>
        </w:tc>
        <w:tc>
          <w:tcPr>
            <w:tcW w:type="dxa" w:w="599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happens</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browse or seeker-dashboard</w:t>
            </w:r>
          </w:p>
        </w:tc>
        <w:tc>
          <w:tcPr>
            <w:tcW w:type="dxa" w:w="599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applicant presses Apply. The interface already shows a live score, computed in the browser by client/core/engine.ts, so nothing here is a surprise to them.</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 /api/applications/apply</w:t>
            </w:r>
          </w:p>
        </w:tc>
        <w:tc>
          <w:tcPr>
            <w:tcW w:type="dxa" w:w="599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requireUser resolves the session. The posting must exist, be open, and be inside its deadline — a closed or expired opening is refused here rather than filtered in the interface.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engine.ts  rmScore</w:t>
            </w:r>
          </w:p>
        </w:tc>
        <w:tc>
          <w:tcPr>
            <w:tcW w:type="dxa" w:w="599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score is computed SERVER-side from the stored résumé and the stored posting. The browser’s number is a preview; this one is authoritative.</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applications + match_scores</w:t>
            </w:r>
          </w:p>
        </w:tc>
        <w:tc>
          <w:tcPr>
            <w:tcW w:type="dxa" w:w="599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application row is written with a score_snapshot, and match_scores receives the full breakdown — matched, required, whether education and experience were met.</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notify.ts  notifyNewApplication</w:t>
            </w:r>
          </w:p>
        </w:tc>
        <w:tc>
          <w:tcPr>
            <w:tcW w:type="dxa" w:w="599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department’s assigned recruiter is emailed, or every verified recruiter at the company when that department has no owner, so no application is ever lost. Fire-and-forget: a mail failure never fails the request.</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 /api/applications/ranked</w:t>
            </w:r>
          </w:p>
        </w:tc>
        <w:tc>
          <w:tcPr>
            <w:tcW w:type="dxa" w:w="599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recruiter opens the opening. Applicants come back ordered by score, serialised through lib/serializers.ts so every id is a string.</w:t>
            </w:r>
          </w:p>
        </w:tc>
      </w:tr>
      <w:tr>
        <w:tc>
          <w:tcPr>
            <w:tcW w:type="dxa" w:w="56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POST /api/applications/set-status</w:t>
            </w:r>
          </w:p>
        </w:tc>
        <w:tc>
          <w:tcPr>
            <w:tcW w:type="dxa" w:w="599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 status change writes application_status_history with the row of who changed it and when, then emails the applicant if they have notifications on.</w:t>
            </w:r>
          </w:p>
        </w:tc>
      </w:tr>
    </w:tbl>
    <w:p>
      <w:pPr>
        <w:spacing w:after="70" w:line="285"/>
        <w:ind w:left="300" w:hanging="300"/>
      </w:pPr>
      <w:r>
        <w:rPr>
          <w:rFonts w:ascii="Arial" w:cs="Arial" w:eastAsia="Arial" w:hAnsi="Arial"/>
          <w:b/>
          <w:bCs/>
          <w:color w:val="1A1A1A"/>
          <w:sz w:val="18"/>
          <w:szCs w:val="18"/>
        </w:rPr>
        <w:t xml:space="preserve">Nothing in that path rejects anybody.  </w:t>
      </w:r>
      <w:r>
        <w:rPr>
          <w:rFonts w:ascii="Arial" w:cs="Arial" w:eastAsia="Arial" w:hAnsi="Arial"/>
          <w:color w:val="2E2E2E"/>
          <w:sz w:val="18"/>
          <w:szCs w:val="18"/>
        </w:rPr>
        <w:t xml:space="preserve">There is no branch anywhere in the seven steps that filters an applicant out on score. The system orders and explains; a named human decides, and step 7 records which human. That is the difference between this and the applicant tracking systems the paper criticises.</w:t>
      </w:r>
    </w:p>
    <w:p>
      <w:pPr>
        <w:spacing w:after="70" w:line="285"/>
        <w:ind w:left="300" w:hanging="300"/>
      </w:pPr>
      <w:r>
        <w:rPr>
          <w:rFonts w:ascii="Arial" w:cs="Arial" w:eastAsia="Arial" w:hAnsi="Arial"/>
          <w:b/>
          <w:bCs/>
          <w:color w:val="1A1A1A"/>
          <w:sz w:val="18"/>
          <w:szCs w:val="18"/>
        </w:rPr>
        <w:t xml:space="preserve">The score is written twice, deliberately.  </w:t>
      </w:r>
      <w:r>
        <w:rPr>
          <w:rFonts w:ascii="Arial" w:cs="Arial" w:eastAsia="Arial" w:hAnsi="Arial"/>
          <w:color w:val="2E2E2E"/>
          <w:sz w:val="18"/>
          <w:szCs w:val="18"/>
        </w:rPr>
        <w:t xml:space="preserve">score_snapshot on the application freezes what the applicant was told at the moment they applied. match_scores is recomputed. If a recruiter later edits the posting, the snapshot still shows what the applicant saw — which is what makes the transparency promise survive an edit.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6 · Security, as built</w:t>
      </w:r>
    </w:p>
    <w:p>
      <w:pPr>
        <w:spacing w:after="130" w:before="60"/>
      </w:pPr>
      <w:r>
        <w:rPr>
          <w:rFonts w:ascii="Arial" w:cs="Arial" w:eastAsia="Arial" w:hAnsi="Arial"/>
          <w:b/>
          <w:bCs/>
          <w:color w:val="8A6A1F"/>
          <w:sz w:val="16"/>
          <w:szCs w:val="16"/>
        </w:rPr>
        <w:t xml:space="preserve">▌ REVIEWER VOICE — THE BUILD</w:t>
      </w:r>
    </w:p>
    <w:p>
      <w:pPr>
        <w:spacing w:after="110" w:before="0" w:line="285"/>
      </w:pPr>
      <w:r>
        <w:rPr>
          <w:rFonts w:ascii="Arial" w:cs="Arial" w:eastAsia="Arial" w:hAnsi="Arial"/>
          <w:b w:val="false"/>
          <w:bCs w:val="false"/>
          <w:i w:val="false"/>
          <w:iCs w:val="false"/>
          <w:color w:val="1A1A1A"/>
          <w:sz w:val="19"/>
          <w:szCs w:val="19"/>
        </w:rPr>
        <w:t xml:space="preserve">The paper makes security claims, and the evaluation does not ask users about security — so this is the evidence for them. Every value below is read from the source, not from intent.</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7114"/>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Concern</w:t>
            </w:r>
          </w:p>
        </w:tc>
        <w:tc>
          <w:tcPr>
            <w:tcW w:type="dxa" w:w="711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is actually implemented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Password storage</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bcryptjs at cost 10. Never stored, logged or returned by any route.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Account enumeration</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auth.ts compares against a DUMMY_HASH when the email is unknown, so a wrong address and a wrong password take the same time to fail.</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Sessions</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connect-pg-simple in the user_sessions table — not the default MemoryStore, which loses every session on restart and leaks. Pruned every 15 minutes.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Session cookie</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httpOnly, sameSite lax, secure driven by COOKIE_SECURE, seven-day maxAge, named rmph.sid.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Headers</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helmet with an explicit Content-Security-Policy rather than the default.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Cross-origin</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cors with credentials and an allow-list origin, not a wildcard.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Brute force — login</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 FAILED attempts per 15 minutes per client-and-email pair. Successful logins never count against it, so a busy legitimate user is never locked out.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Brute force — codes</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 code emails per 15 minutes per client, on top of a per-address cooldown and hourly cap in email-codes.ts. 20 account-creation or reset submissions per 15 minutes.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File uploads</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file-type.ts inspects the bytes. The declared MIME type is user input and is not trusted.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Authorisation</w:t>
            </w:r>
          </w:p>
        </w:tc>
        <w:tc>
          <w:tcPr>
            <w:tcW w:type="dxa" w:w="711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recruiter-only and admin-only route calls requireRole. The API suite asserts a seeker cannot reach a recruiter endpoint and that a recruiter cannot pull an arbitrary résumé by id.</w:t>
            </w:r>
          </w:p>
        </w:tc>
      </w:tr>
    </w:tbl>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The gap you should raise before a panelist does</w:t>
      </w:r>
      <w:r>
        <w:br/>
      </w:r>
      <w:r>
        <w:rPr>
          <w:rFonts w:ascii="Arial" w:cs="Arial" w:eastAsia="Arial" w:hAnsi="Arial"/>
          <w:b w:val="false"/>
          <w:bCs w:val="false"/>
          <w:i w:val="false"/>
          <w:iCs w:val="false"/>
          <w:color w:val="1A1A1A"/>
          <w:sz w:val="19"/>
          <w:szCs w:val="19"/>
        </w:rPr>
        <w:t xml:space="preserve">There are no CSRF tokens. The defence is SameSite=Lax cookies plus JSON content-type checking, which stops the ordinary cross-site form POST but is weaker than a token. Say so plainly if asked — it is a known, bounded limitation of a pilot, and claiming otherwise is worse than the gap. The other honest gaps: the rate limiter is in-memory and fixed-window, so it resets on restart and does not span processes; and security is verified by testing rather than by respondents, because a user cannot assess it from twenty minutes of use.</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7 · Tests and documentation</w:t>
      </w:r>
    </w:p>
    <w:p>
      <w:pPr>
        <w:spacing w:after="130" w:before="60"/>
      </w:pPr>
      <w:r>
        <w:rPr>
          <w:rFonts w:ascii="Arial" w:cs="Arial" w:eastAsia="Arial" w:hAnsi="Arial"/>
          <w:b/>
          <w:bCs/>
          <w:color w:val="8A6A1F"/>
          <w:sz w:val="16"/>
          <w:szCs w:val="16"/>
        </w:rPr>
        <w:t xml:space="preserve">▌ REVIEWER VOICE — THE BUILD</w:t>
      </w:r>
    </w:p>
    <w:p>
      <w:pPr>
        <w:spacing w:after="110" w:before="260" w:line="290"/>
      </w:pPr>
      <w:r>
        <w:rPr>
          <w:rFonts w:ascii="Arial" w:cs="Arial" w:eastAsia="Arial" w:hAnsi="Arial"/>
          <w:b/>
          <w:bCs/>
          <w:i w:val="false"/>
          <w:iCs w:val="false"/>
          <w:color w:val="1A1A1A"/>
          <w:sz w:val="22"/>
          <w:szCs w:val="22"/>
        </w:rPr>
        <w:t xml:space="preserve">7.1  Automated suites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api.test.ts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885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Starts the real server against a temporary PostgreSQL and drives it over HTTP, so guards, sessions and SQL are exercised as deployed rather than mocked.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mode-parity.test.ts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531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Drives the same operations through the demo adapter and the server and asserts they agree — on the rules and on the actual scores. This is the suite that protects your defense.</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email.test.ts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349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Delivery against a local SMTP sink — no account, no cost.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engine.test.ts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491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Component weighting, tier boundaries, unspecified requirements, the rounding rule, and that the vocabulary never equates two different skills.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analyze.test.ts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287</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Extraction against a local stand-in, asserting no score is ever returned.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parse-resume.test.ts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340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Twenty-four tests over the rule-based reader — among them that a date range naming no months counts whole years rather than calendar years, that every parsed field is clamped so a hostile document cannot flood the database, and that a document nothing could be read from returns a failure rather than an empty résumé that would score a confident zero.</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smtp-sink.ts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141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local mail server the email suite sends to.</w:t>
            </w:r>
          </w:p>
        </w:tc>
      </w:tr>
    </w:tbl>
    <w:p>
      <w:pPr>
        <w:spacing w:after="110" w:before="260" w:line="290"/>
      </w:pPr>
      <w:r>
        <w:rPr>
          <w:rFonts w:ascii="Arial" w:cs="Arial" w:eastAsia="Arial" w:hAnsi="Arial"/>
          <w:b/>
          <w:bCs/>
          <w:i w:val="false"/>
          <w:iCs w:val="false"/>
          <w:color w:val="1A1A1A"/>
          <w:sz w:val="22"/>
          <w:szCs w:val="22"/>
        </w:rPr>
        <w:t xml:space="preserve">7.2  Browser walkthroughs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245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Full journey for all three account types against the API build.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reference-walkthrough.mjs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241</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Every resume section through the builder.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demo-walkthrough.mjs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198</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same journey against the demo build.</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anchors-walkthrough.mjs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156</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Learning hub contents and search behaviour.</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upload-walkthrough.mjs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140</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File upload and its limits.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header-walkthrough.mjs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129</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Navigation across roles.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a11y-walkthrough.mjs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75</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Keyboard and screen-reader path through the modals.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narrow-walkthrough.mjs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153</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Asserts no page scrolls HORIZONTALLY on a phone. It exists because .btn sets white-space:nowrap, which turns a long button label into a floor the grid cannot shrink under, and that pushed whole pages past the viewport.</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seo-walkthrough.mjs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186</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Loads every route from the BUILT bundle and checks what a crawler receives — a description of 70 to 160 characters on every page, and no two indexable pages sharing one. None of it exists in the source, because seo.ts writes it at navigation time, so looking is the only way to know.</w:t>
            </w:r>
          </w:p>
        </w:tc>
      </w:tr>
    </w:tbl>
    <w:p>
      <w:pPr>
        <w:spacing w:after="70" w:line="285"/>
        <w:ind w:left="300" w:hanging="300"/>
      </w:pPr>
      <w:r>
        <w:rPr>
          <w:rFonts w:ascii="Arial" w:cs="Arial" w:eastAsia="Arial" w:hAnsi="Arial"/>
          <w:b/>
          <w:bCs/>
          <w:color w:val="1A1A1A"/>
          <w:sz w:val="18"/>
          <w:szCs w:val="18"/>
        </w:rPr>
        <w:t xml:space="preserve">What they catch that unit tests cannot.  </w:t>
      </w:r>
      <w:r>
        <w:rPr>
          <w:rFonts w:ascii="Arial" w:cs="Arial" w:eastAsia="Arial" w:hAnsi="Arial"/>
          <w:color w:val="2E2E2E"/>
          <w:sz w:val="18"/>
          <w:szCs w:val="18"/>
        </w:rPr>
        <w:t xml:space="preserve">A page that renders blank, or a control that silently stops working. They fail on any error the browser reports, and cover light and dark modes and a 390-pixel width.</w:t>
      </w:r>
    </w:p>
    <w:p>
      <w:pPr>
        <w:spacing w:after="70" w:line="285"/>
        <w:ind w:left="300" w:hanging="300"/>
      </w:pPr>
      <w:r>
        <w:rPr>
          <w:rFonts w:ascii="Arial" w:cs="Arial" w:eastAsia="Arial" w:hAnsi="Arial"/>
          <w:b/>
          <w:bCs/>
          <w:color w:val="1A1A1A"/>
          <w:sz w:val="18"/>
          <w:szCs w:val="18"/>
        </w:rPr>
        <w:t xml:space="preserve">What the tests prove — and do not.  </w:t>
      </w:r>
      <w:r>
        <w:rPr>
          <w:rFonts w:ascii="Arial" w:cs="Arial" w:eastAsia="Arial" w:hAnsi="Arial"/>
          <w:color w:val="2E2E2E"/>
          <w:sz w:val="18"/>
          <w:szCs w:val="18"/>
        </w:rPr>
        <w:t xml:space="preserve">That the formula is implemented faithfully and identically on both sides. Not that the formula matches recruiter judgement; that is what RQ6 is for. The counts are a record of development work, not findings.</w:t>
      </w:r>
    </w:p>
    <w:p>
      <w:pPr>
        <w:spacing w:after="110" w:before="260" w:line="290"/>
      </w:pPr>
      <w:r>
        <w:rPr>
          <w:rFonts w:ascii="Arial" w:cs="Arial" w:eastAsia="Arial" w:hAnsi="Arial"/>
          <w:b/>
          <w:bCs/>
          <w:i w:val="false"/>
          <w:iCs w:val="false"/>
          <w:color w:val="1A1A1A"/>
          <w:sz w:val="22"/>
          <w:szCs w:val="22"/>
        </w:rPr>
        <w:t xml:space="preserve">7.3  Build tooling</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246"/>
        <w:gridCol w:w="842"/>
        <w:gridCol w:w="6272"/>
      </w:tblGrid>
      <w:tr>
        <w:trPr>
          <w:tblHeader/>
        </w:trPr>
        <w:tc>
          <w:tcPr>
            <w:tcW w:type="dxa" w:w="224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84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Lines</w:t>
            </w:r>
          </w:p>
        </w:tc>
        <w:tc>
          <w:tcPr>
            <w:tcW w:type="dxa" w:w="62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does</w:t>
            </w:r>
          </w:p>
        </w:tc>
      </w:tr>
      <w:tr>
        <w:tc>
          <w:tcPr>
            <w:tcW w:type="dxa" w:w="224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make-sitemap.mjs</w:t>
            </w:r>
          </w:p>
        </w:tc>
        <w:tc>
          <w:tcPr>
            <w:tcW w:type="dxa" w:w="84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86</w:t>
            </w:r>
          </w:p>
        </w:tc>
        <w:tc>
          <w:tcPr>
            <w:tcW w:type="dxa" w:w="62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Runs after ng build and writes dist/sitemap.xml, then fixes the Sitemap: line in dist/robots.txt. Both need the site’s ABSOLUTE origin, which is a deployment fact rather than a source fact — the same build runs on localhost, on a Netlify preview URL, and on whatever domain the study ends up using — so the origin comes from SITE_URL at build time. WITHOUT SITE_URL it writes NO sitemap and strips the Sitemap: line out of robots.txt, deliberately: a sitemap listing URLs on the wrong domain is worse than none, because every URL in it 404s.</w:t>
            </w:r>
          </w:p>
        </w:tc>
      </w:tr>
    </w:tbl>
    <w:p>
      <w:pPr>
        <w:spacing w:after="70" w:line="285"/>
        <w:ind w:left="300" w:hanging="300"/>
      </w:pPr>
      <w:r>
        <w:rPr>
          <w:rFonts w:ascii="Arial" w:cs="Arial" w:eastAsia="Arial" w:hAnsi="Arial"/>
          <w:b/>
          <w:bCs/>
          <w:color w:val="1A1A1A"/>
          <w:sz w:val="18"/>
          <w:szCs w:val="18"/>
        </w:rPr>
        <w:t xml:space="preserve">SITE_URL is not set anywhere in this repository.  </w:t>
      </w:r>
      <w:r>
        <w:rPr>
          <w:rFonts w:ascii="Arial" w:cs="Arial" w:eastAsia="Arial" w:hAnsi="Arial"/>
          <w:color w:val="2E2E2E"/>
          <w:sz w:val="18"/>
          <w:szCs w:val="18"/>
        </w:rPr>
        <w:t xml:space="preserve">So as things stand no sitemap is published. That is the correct failure mode rather than a bug, but it does mean the SEO work is only half delivered until somebody sets the variable for the real deployment. It is on the open-items list in the study guide for that reason.</w:t>
      </w:r>
    </w:p>
    <w:p>
      <w:pPr>
        <w:spacing w:after="110" w:before="260" w:line="290"/>
      </w:pPr>
      <w:r>
        <w:rPr>
          <w:rFonts w:ascii="Arial" w:cs="Arial" w:eastAsia="Arial" w:hAnsi="Arial"/>
          <w:b/>
          <w:bCs/>
          <w:i w:val="false"/>
          <w:iCs w:val="false"/>
          <w:color w:val="1A1A1A"/>
          <w:sz w:val="22"/>
          <w:szCs w:val="22"/>
        </w:rPr>
        <w:t xml:space="preserve">7.4  Documentation</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6926"/>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File</w:t>
            </w:r>
          </w:p>
        </w:tc>
        <w:tc>
          <w:tcPr>
            <w:tcW w:type="dxa" w:w="692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What it is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README.md</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Orientation. States that 05_Website_Angular is the current system and 04_Website is reference only.</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SETUP.md</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operational document: running both modes, pointing the server at Supabase, SMTP, the Gemini key, TRUST_PROXY, and a before-and-after table of what changed from the PHP version.</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docs/</w:t>
            </w:r>
          </w:p>
        </w:tc>
        <w:tc>
          <w:tcPr>
            <w:tcW w:type="dxa" w:w="692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Generated capstone deliverables — the design specification PDF and several Word documents, including manuscript replacement sections recording eleven divergences. Several are now fixed; check which before citing it.</w:t>
            </w:r>
          </w:p>
        </w:tc>
      </w:tr>
    </w:tbl>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Part 8 · 04_Website</w:t>
      </w:r>
    </w:p>
    <w:p>
      <w:pPr>
        <w:spacing w:after="130" w:before="60"/>
      </w:pPr>
      <w:r>
        <w:rPr>
          <w:rFonts w:ascii="Arial" w:cs="Arial" w:eastAsia="Arial" w:hAnsi="Arial"/>
          <w:b/>
          <w:bCs/>
          <w:color w:val="8A6A1F"/>
          <w:sz w:val="16"/>
          <w:szCs w:val="16"/>
        </w:rPr>
        <w:t xml:space="preserve">▌ REVIEWER VOICE — THE BUILD</w:t>
      </w:r>
    </w:p>
    <w:p>
      <w:pPr>
        <w:spacing w:after="110" w:before="0" w:line="285"/>
      </w:pPr>
      <w:r>
        <w:rPr>
          <w:rFonts w:ascii="Arial" w:cs="Arial" w:eastAsia="Arial" w:hAnsi="Arial"/>
          <w:b w:val="false"/>
          <w:bCs w:val="false"/>
          <w:i w:val="false"/>
          <w:iCs w:val="false"/>
          <w:color w:val="1A1A1A"/>
          <w:sz w:val="19"/>
          <w:szCs w:val="19"/>
        </w:rPr>
        <w:t xml:space="preserve">The original implementation: 36 files of PHP and MySQL. Every part is superseded.</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3744"/>
        <w:gridCol w:w="5616"/>
      </w:tblGrid>
      <w:tr>
        <w:trPr>
          <w:tblHeader/>
        </w:trPr>
        <w:tc>
          <w:tcPr>
            <w:tcW w:type="dxa" w:w="374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In 04_Website</w:t>
            </w:r>
          </w:p>
        </w:tc>
        <w:tc>
          <w:tcPr>
            <w:tcW w:type="dxa" w:w="5616"/>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Became</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api/*.php — nine endpoints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server/src/routes/*.ts</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api/_lib.php</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server/src/lib/engine.ts and serializers.ts</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app/assets/api.js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core/engine.ts, core/demo-adapter.ts and core/http-adapter.ts</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app/*.html — fourteen pages</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The Angular page components</w:t>
            </w:r>
          </w:p>
        </w:tc>
      </w:tr>
      <w:tr>
        <w:tc>
          <w:tcPr>
            <w:tcW w:type="dxa" w:w="374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db/schema.sql and seed.sql</w:t>
            </w:r>
          </w:p>
        </w:tc>
        <w:tc>
          <w:tcPr>
            <w:tcW w:type="dxa" w:w="5616"/>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db/resumematch_ph.sql, on PostgreSQL</w:t>
            </w:r>
          </w:p>
        </w:tc>
      </w:tr>
    </w:tbl>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If a panelist asks</w:t>
      </w:r>
      <w:r>
        <w:br/>
      </w:r>
      <w:r>
        <w:rPr>
          <w:rFonts w:ascii="Arial" w:cs="Arial" w:eastAsia="Arial" w:hAnsi="Arial"/>
          <w:b w:val="false"/>
          <w:bCs w:val="false"/>
          <w:i w:val="false"/>
          <w:iCs w:val="false"/>
          <w:color w:val="1A1A1A"/>
          <w:sz w:val="19"/>
          <w:szCs w:val="19"/>
        </w:rPr>
        <w:t xml:space="preserve">"It is the previous version, kept as a reference; the current system does not use it." You can demonstrate that with a search — the only mentions from outside the folder are provenance comments in file headers.</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ResumeMatch PH — The Codebase, File by File</dc:title>
  <dc:creator>ResumeMatch PH capstone team</dc:creator>
  <dc:description>Every file in the ResumeMatch PH repository that the website depends on, with line counts read from the repo.</dc:description>
  <cp:lastModifiedBy>Un-named</cp:lastModifiedBy>
  <cp:revision>1</cp:revision>
  <dcterms:created xsi:type="dcterms:W3CDTF">2026-08-11T12:05:34.009Z</dcterms:created>
  <dcterms:modified xsi:type="dcterms:W3CDTF">2026-08-11T12:05:34.010Z</dcterms:modified>
</cp:coreProperties>
</file>

<file path=docProps/custom.xml><?xml version="1.0" encoding="utf-8"?>
<Properties xmlns="http://schemas.openxmlformats.org/officeDocument/2006/custom-properties" xmlns:vt="http://schemas.openxmlformats.org/officeDocument/2006/docPropsVTypes"/>
</file>