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jc w:val="center"/>
      </w:pPr>
      <w:r>
        <w:rPr>
          <w:b/>
          <w:bCs/>
          <w:color w:val="6B2737"/>
          <w:sz w:val="26"/>
          <w:szCs w:val="26"/>
        </w:rPr>
        <w:t>Linaw PH</w:t>
      </w:r>
    </w:p>
    <w:p>
      <w:pPr>
        <w:spacing w:after="140"/>
        <w:jc w:val="center"/>
      </w:pPr>
      <w:r>
        <w:rPr>
          <w:b/>
          <w:bCs/>
          <w:color w:val="3D4A5C"/>
          <w:sz w:val="46"/>
          <w:szCs w:val="46"/>
        </w:rPr>
        <w:t xml:space="preserve">Start Here</w:t>
      </w:r>
    </w:p>
    <w:p>
      <w:pPr>
        <w:spacing w:after="700"/>
        <w:jc w:val="center"/>
      </w:pPr>
      <w:r>
        <w:rPr>
          <w:i/>
          <w:iCs/>
          <w:color w:val="3D4A5C"/>
          <w:sz w:val="24"/>
          <w:szCs w:val="24"/>
        </w:rPr>
        <w:t xml:space="preserve">The short guide</w:t>
      </w:r>
    </w:p>
    <w:p>
      <w:pPr>
        <w:spacing w:after="260"/>
        <w:ind w:left="900" w:right="900"/>
        <w:jc w:val="center"/>
      </w:pPr>
      <w:r>
        <w:rPr>
          <w:sz w:val="20"/>
          <w:szCs w:val="20"/>
        </w:rPr>
        <w:t xml:space="preserve">Read this first. It explains the study and the website in plain language, with no code. About 25 minutes. If you only read one document before the defense, read this one.</w:t>
      </w:r>
    </w:p>
    <w:p>
      <w:pPr>
        <w:spacing w:after="60"/>
        <w:jc w:val="center"/>
      </w:pPr>
      <w:r>
        <w:rPr>
          <w:color w:val="3D4A5C"/>
          <w:sz w:val="18"/>
          <w:szCs w:val="18"/>
        </w:rPr>
        <w:t xml:space="preserve">Holy Angel University  ·  School of Computing  ·  Garcia, Santos, Talens</w:t>
      </w:r>
    </w:p>
    <w:p>
      <w:pPr>
        <w:jc w:val="center"/>
      </w:pPr>
      <w:r>
        <w:rPr>
          <w:color w:val="3D4A5C"/>
          <w:sz w:val="18"/>
          <w:szCs w:val="18"/>
        </w:rPr>
        <w:t xml:space="preserve">Pilot partner: Clark Outsourcing, Clark Freeport Zone</w:t>
      </w:r>
    </w:p>
    <w:p>
      <w:pPr>
        <w:pStyle w:val="Heading1"/>
      </w:pPr>
      <w:r>
        <w:t>What changed since the 22 August pack</w:t>
      </w:r>
    </w:p>
    <w:p>
      <w:pPr>
        <w:spacing w:after="260"/>
        <w:ind w:left="900" w:right="900"/>
        <w:jc w:val="center"/>
      </w:pPr>
      <w:r>
        <w:rPr>
          <w:sz w:val="20"/>
          <w:szCs w:val="20"/>
        </w:rPr>
        <w:t>Four changes were made after that pack was built. Each is listed with what a panelist would see, because a reviewer reading an older copy will otherwise describe the site as it no longer is.</w:t>
      </w:r>
    </w:p>
    <w:p>
      <w:pPr>
        <w:spacing w:after="260"/>
        <w:ind w:left="900" w:right="900"/>
        <w:jc w:val="center"/>
      </w:pPr>
      <w:r>
        <w:rPr>
          <w:sz w:val="20"/>
          <w:szCs w:val="20"/>
        </w:rPr>
        <w:t>1 · Reading a curriculum vitae. A five-page academic CV was uploaded to the live site and read badly: the holder of a doctorate and thirteen years of university teaching came out with NO education at all, the job title from the second line returned as her name, and three professional-society memberships counted as employment. Six faults were found in the rule-based reader and repaired. On a representative entry-level IT opening the same document moves from 63 to 88, and the whole of that 25-point difference is the education component, which had been scoring zero against a posting asking for a bachelor’s degree. The exact figure depends on the opening, because a score is always against one posting: on an administrative opening the same document moves from 50 to 75, the same 25 points. The faults are worth knowing because they are the honest answer to "how well does your reader actually work": a wrapped sentence ending in the word "employment." was treated as a section heading, so the real career history above it was discarded and three professional-society memberships below it were counted as jobs; the headings a CV uses ("CAREER DETAILS", "SKILLS MATRIX", "Education and Qualifications") were not recognised; a doctorate had no pattern at all and read as no education; a surname the PDF rendered as "SALENGA - MENDEZ" failed the name test, so the job title on the next line was returned as the applicant's name; and a long skills list pushed the only skills that can actually score past a thirty-item cap.</w:t>
      </w:r>
    </w:p>
    <w:p>
      <w:pPr>
        <w:spacing w:after="260"/>
        <w:ind w:left="900" w:right="900"/>
        <w:jc w:val="center"/>
      </w:pPr>
      <w:r>
        <w:rPr>
          <w:sz w:val="20"/>
          <w:szCs w:val="20"/>
        </w:rPr>
        <w:t>2 · First name and last name. Registration now asks for the two separately and the database stores them separately, on the advice of the research adviser. The display name is derived from the two by the database itself rather than stored a second time, so the two cannot drift apart. Accounts created before the change are divided on the last word of the stored name and can be corrected from the account page.</w:t>
      </w:r>
    </w:p>
    <w:p>
      <w:pPr>
        <w:spacing w:after="260"/>
        <w:ind w:left="900" w:right="900"/>
        <w:jc w:val="center"/>
      </w:pPr>
      <w:r>
        <w:rPr>
          <w:sz w:val="20"/>
          <w:szCs w:val="20"/>
        </w:rPr>
        <w:t>3 · The logo. Clicking the Linaw PH logo now goes to the signed-in account's own dashboard rather than the public home page. Signed out it still goes to the home page. The reason to expect the question: for someone with an account the home page is a page about signing up, and on a phone — where the navigation collapses into a menu — the logo is the only always-visible way back.</w:t>
      </w:r>
    </w:p>
    <w:p>
      <w:pPr>
        <w:spacing w:after="260"/>
        <w:ind w:left="900" w:right="900"/>
        <w:jc w:val="center"/>
      </w:pPr>
      <w:r>
        <w:rPr>
          <w:sz w:val="20"/>
          <w:szCs w:val="20"/>
        </w:rPr>
        <w:t>4 · The test count. There are now 228 automated tests in eleven suites, all passing. The older pack says 160 in six; that figure was correct when it was written and counted six of the eleven suites. The current split is 61 on the matching engine, 57 driving the real server over HTTP, 46 on the document reader, 13 on browser-versus-server agreement, 11 on email, 10 on extraction, 10 on file storage, 8 on cross-side integration, 6 on the mail transport, 5 on the interview calendar file and 1 four-thousand-case formula harness.</w:t>
      </w:r>
    </w:p>
    <w:p>
      <w:r>
        <w:br w:type="page"/>
      </w:r>
    </w:p>
    <w:p>
      <w:pPr>
        <w:pStyle w:val="Heading1"/>
      </w:pPr>
      <w:r>
        <w:t>There is a simpler companion to this</w:t>
      </w:r>
    </w:p>
    <w:p>
      <w:pPr>
        <w:spacing w:after="260"/>
        <w:ind w:left="900" w:right="900"/>
        <w:jc w:val="center"/>
      </w:pPr>
      <w:r>
        <w:rPr>
          <w:sz w:val="20"/>
          <w:szCs w:val="20"/>
        </w:rPr>
        <w:t>Linaw-PH-Explained-Simply.docx covers the same ground in plainer words, goes further into the research side — the questionnaires, the statistics, how many respondents and why — and ends with a word list defining every term you will meet anywhere in this project.</w:t>
      </w:r>
    </w:p>
    <w:p>
      <w:pPr>
        <w:spacing w:after="260"/>
        <w:ind w:left="900" w:right="900"/>
        <w:jc w:val="center"/>
      </w:pPr>
      <w:r>
        <w:rPr>
          <w:sz w:val="20"/>
          <w:szCs w:val="20"/>
        </w:rPr>
        <w:t>If this document already reads easily, carry on. If any of it seems to assume something nobody told you, read that one instead and come back.</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 What the study is about</w:t>
      </w:r>
    </w:p>
    <w:p>
      <w:r>
        <w:t xml:space="preserve">Fresh graduates in Pampanga apply for jobs and hear nothing back. They do not know whether their resume was rejected by a person or was never read at all, and they do not know what to fix. On the other side, a recruiter opening fifty attachments has no fast way to see who actually meets the requirements.</w:t>
      </w:r>
    </w:p>
    <w:p>
      <w:r>
        <w:t>Linaw PH is a website we built to test one idea: if you show a job seeker a number that says how well they match an opening, and you show them exactly how that number was worked out, does it help them?</w:t>
      </w:r>
    </w:p>
    <w:p>
      <w:r>
        <w:t>The important word is transparent. Plenty of systems score resumes. Ours shows its work. Every applicant can see which required skills they had, how many they did not and of what kind, and how much each part was worth. Nothing is hidden.</w:t>
      </w:r>
    </w:p>
    <w:p>
      <w:pPr>
        <w:pStyle w:val="Heading2"/>
      </w:pPr>
      <w:r>
        <w:t xml:space="preserve">The three research questions</w:t>
      </w:r>
    </w:p>
    <w:p>
      <w:pPr>
        <w:pStyle w:val="ListParagraph"/>
        <w:numPr>
          <w:ilvl w:val="0"/>
          <w:numId w:val="2"/>
        </w:numPr>
        <w:spacing w:after="70"/>
      </w:pPr>
      <w:r>
        <w:t xml:space="preserve">Does the system change how confident a job seeker feels about applying?</w:t>
      </w:r>
    </w:p>
    <w:p>
      <w:pPr>
        <w:pStyle w:val="ListParagraph"/>
        <w:numPr>
          <w:ilvl w:val="0"/>
          <w:numId w:val="2"/>
        </w:numPr>
        <w:spacing w:after="70"/>
      </w:pPr>
      <w:r>
        <w:t xml:space="preserve">Does it help a recruiter shortlist faster, and do they trust the ranking?</w:t>
      </w:r>
    </w:p>
    <w:p>
      <w:pPr>
        <w:pStyle w:val="ListParagraph"/>
        <w:numPr>
          <w:ilvl w:val="0"/>
          <w:numId w:val="2"/>
        </w:numPr>
        <w:spacing w:after="70"/>
      </w:pPr>
      <w:r>
        <w:t xml:space="preserve">Is the system usable — can people actually operate it without help?</w:t>
      </w:r>
    </w:p>
    <w:p>
      <w:r>
        <w:t xml:space="preserve">We measure the first with a before-and-after questionnaire, the second by asking recruiters, and the third with a standard usability scale.</w:t>
      </w:r>
    </w:p>
    <w:p>
      <w:r>
        <w:br w:type="page"/>
      </w:r>
    </w:p>
    <w:p>
      <w:pPr>
        <w:pStyle w:val="Heading1"/>
      </w:pPr>
      <w:r>
        <w:t xml:space="preserve">2 · What the website does</w:t>
      </w:r>
    </w:p>
    <w:p>
      <w:r>
        <w:t xml:space="preserve">Three kinds of people use it, and each sees a different site.</w:t>
      </w:r>
    </w:p>
    <w:tbl>
      <w:tblPr>
        <w:tblW w:type="dxa" w:w="9360"/>
        <w:tblBorders>
          <w:top w:val="single" w:color="C9CDD4" w:sz="2"/>
          <w:left w:val="none"/>
          <w:bottom w:val="single" w:color="C9CDD4" w:sz="2"/>
          <w:right w:val="none"/>
          <w:insideH w:val="single" w:color="C9CDD4" w:sz="1"/>
          <w:insideV w:val="none"/>
        </w:tblBorders>
      </w:tblPr>
      <w:tblGrid>
        <w:gridCol w:w="2100"/>
        <w:gridCol w:w="7260"/>
      </w:tblGrid>
      <w:tr>
        <w:trPr>
          <w:tblHeader/>
        </w:trPr>
        <w:tc>
          <w:tcPr>
            <w:tcW w:type="dxa" w:w="2100"/>
            <w:shd w:fill="F4F1EA" w:val="clear"/>
            <w:tcMar>
              <w:top w:type="dxa" w:w="90"/>
              <w:left w:type="dxa" w:w="130"/>
              <w:bottom w:type="dxa" w:w="90"/>
              <w:right w:type="dxa" w:w="130"/>
            </w:tcMar>
          </w:tcPr>
          <w:p>
            <w:r>
              <w:rPr>
                <w:b/>
                <w:bCs/>
                <w:sz w:val="19"/>
                <w:szCs w:val="19"/>
              </w:rPr>
              <w:t xml:space="preserve">Who</w:t>
            </w:r>
          </w:p>
        </w:tc>
        <w:tc>
          <w:tcPr>
            <w:tcW w:type="dxa" w:w="7260"/>
            <w:shd w:fill="F4F1EA" w:val="clear"/>
            <w:tcMar>
              <w:top w:type="dxa" w:w="90"/>
              <w:left w:type="dxa" w:w="130"/>
              <w:bottom w:type="dxa" w:w="90"/>
              <w:right w:type="dxa" w:w="130"/>
            </w:tcMar>
          </w:tcPr>
          <w:p>
            <w:r>
              <w:rPr>
                <w:b/>
                <w:bCs/>
                <w:sz w:val="19"/>
                <w:szCs w:val="19"/>
              </w:rPr>
              <w:t xml:space="preserve">What they can do</w:t>
            </w:r>
          </w:p>
        </w:tc>
      </w:tr>
      <w:tr>
        <w:tc>
          <w:tcPr>
            <w:tcW w:type="dxa" w:w="2100"/>
            <w:tcMar>
              <w:top w:type="dxa" w:w="90"/>
              <w:left w:type="dxa" w:w="130"/>
              <w:bottom w:type="dxa" w:w="90"/>
              <w:right w:type="dxa" w:w="130"/>
            </w:tcMar>
          </w:tcPr>
          <w:p>
            <w:r>
              <w:rPr>
                <w:sz w:val="19"/>
                <w:szCs w:val="19"/>
              </w:rPr>
              <w:t xml:space="preserve">Job seeker</w:t>
            </w:r>
          </w:p>
        </w:tc>
        <w:tc>
          <w:tcPr>
            <w:tcW w:type="dxa" w:w="7260"/>
            <w:tcMar>
              <w:top w:type="dxa" w:w="90"/>
              <w:left w:type="dxa" w:w="130"/>
              <w:bottom w:type="dxa" w:w="90"/>
              <w:right w:type="dxa" w:w="130"/>
            </w:tcMar>
          </w:tcPr>
          <w:p>
            <w:r>
              <w:rPr>
                <w:sz w:val="19"/>
                <w:szCs w:val="19"/>
              </w:rPr>
              <w:t>Build a resume, upload the one they already have, browse openings, see a match score for each, apply, track applications, and read the reason if they are not taken forward</w:t>
            </w:r>
          </w:p>
        </w:tc>
      </w:tr>
      <w:tr>
        <w:tc>
          <w:tcPr>
            <w:tcW w:type="dxa" w:w="2100"/>
            <w:tcMar>
              <w:top w:type="dxa" w:w="90"/>
              <w:left w:type="dxa" w:w="130"/>
              <w:bottom w:type="dxa" w:w="90"/>
              <w:right w:type="dxa" w:w="130"/>
            </w:tcMar>
          </w:tcPr>
          <w:p>
            <w:r>
              <w:rPr>
                <w:sz w:val="19"/>
                <w:szCs w:val="19"/>
              </w:rPr>
              <w:t xml:space="preserve">Recruiter</w:t>
            </w:r>
          </w:p>
        </w:tc>
        <w:tc>
          <w:tcPr>
            <w:tcW w:type="dxa" w:w="7260"/>
            <w:tcMar>
              <w:top w:type="dxa" w:w="90"/>
              <w:left w:type="dxa" w:w="130"/>
              <w:bottom w:type="dxa" w:w="90"/>
              <w:right w:type="dxa" w:w="130"/>
            </w:tcMar>
          </w:tcPr>
          <w:p>
            <w:r>
              <w:rPr>
                <w:sz w:val="19"/>
                <w:szCs w:val="19"/>
              </w:rPr>
              <w:t>Post an opening, choose which skills it needs, see applicants ranked by score, move each applicant through the hiring stages, and record why when someone is not taken forward</w:t>
            </w:r>
          </w:p>
        </w:tc>
      </w:tr>
      <w:tr>
        <w:tc>
          <w:tcPr>
            <w:tcW w:type="dxa" w:w="2100"/>
            <w:tcMar>
              <w:top w:type="dxa" w:w="90"/>
              <w:left w:type="dxa" w:w="130"/>
              <w:bottom w:type="dxa" w:w="90"/>
              <w:right w:type="dxa" w:w="130"/>
            </w:tcMar>
          </w:tcPr>
          <w:p>
            <w:r>
              <w:rPr>
                <w:sz w:val="19"/>
                <w:szCs w:val="19"/>
              </w:rPr>
              <w:t xml:space="preserve">Admin (us)</w:t>
            </w:r>
          </w:p>
        </w:tc>
        <w:tc>
          <w:tcPr>
            <w:tcW w:type="dxa" w:w="7260"/>
            <w:tcMar>
              <w:top w:type="dxa" w:w="90"/>
              <w:left w:type="dxa" w:w="130"/>
              <w:bottom w:type="dxa" w:w="90"/>
              <w:right w:type="dxa" w:w="130"/>
            </w:tcMar>
          </w:tcPr>
          <w:p>
            <w:r>
              <w:rPr>
                <w:sz w:val="19"/>
                <w:szCs w:val="19"/>
              </w:rPr>
              <w:t xml:space="preserve">Approve recruiter accounts, view study metrics, export data</w:t>
            </w:r>
          </w:p>
        </w:tc>
      </w:tr>
    </w:tbl>
    <w:p>
      <w:pPr>
        <w:pStyle w:val="Heading2"/>
      </w:pPr>
      <w:r>
        <w:t xml:space="preserve">The seven-step resume builder</w:t>
      </w:r>
    </w:p>
    <w:p>
      <w:r>
        <w:t xml:space="preserve">A seeker fills in seven steps: personal details, education, work experience, skills, projects, certifications, and a final review. As they type, a live preview shows the finished resume beside the form. They pick one of fourteen designs, all built to survive being read by software.</w:t>
      </w:r>
    </w:p>
    <w:p>
      <w:pPr>
        <w:pStyle w:val="Heading2"/>
      </w:pPr>
      <w:r>
        <w:t xml:space="preserve">Two resumes, one purpose</w:t>
      </w:r>
    </w:p>
    <w:p>
      <w:r>
        <w:t xml:space="preserve">This is the part people ask about most, so learn it properly.</w:t>
      </w:r>
    </w:p>
    <w:p>
      <w:r>
        <w:t xml:space="preserve">A seeker has </w:t>
      </w:r>
      <w:r>
        <w:rPr>
          <w:b/>
          <w:bCs/>
        </w:rPr>
        <w:t xml:space="preserve">two</w:t>
      </w:r>
      <w:r>
        <w:t xml:space="preserve"> things on the site:</w:t>
      </w:r>
    </w:p>
    <w:p>
      <w:pPr>
        <w:pStyle w:val="ListParagraph"/>
        <w:numPr>
          <w:ilvl w:val="0"/>
          <w:numId w:val="2"/>
        </w:numPr>
        <w:spacing w:after="70"/>
      </w:pPr>
      <w:r>
        <w:rPr>
          <w:b/>
          <w:bCs/>
        </w:rPr>
        <w:t xml:space="preserve">The resume they built here</w:t>
      </w:r>
      <w:r>
        <w:t xml:space="preserve"> — structured fields the system can read reliably. </w:t>
      </w:r>
      <w:r>
        <w:rPr>
          <w:i/>
          <w:iCs/>
        </w:rPr>
        <w:t xml:space="preserve">This is the one that gets scored and ranked.</w:t>
      </w:r>
    </w:p>
    <w:p>
      <w:pPr>
        <w:pStyle w:val="ListParagraph"/>
        <w:numPr>
          <w:ilvl w:val="0"/>
          <w:numId w:val="2"/>
        </w:numPr>
        <w:spacing w:after="70"/>
      </w:pPr>
      <w:r>
        <w:rPr>
          <w:b/>
          <w:bCs/>
        </w:rPr>
        <w:t xml:space="preserve">The file they already had</w:t>
      </w:r>
      <w:r>
        <w:t xml:space="preserve"> — their own PDF or Word document. The recruiter can open and read it. </w:t>
      </w:r>
      <w:r>
        <w:rPr>
          <w:i/>
          <w:iCs/>
        </w:rPr>
        <w:t xml:space="preserve">This one never affects the ranking.</w:t>
      </w:r>
    </w:p>
    <w:p>
      <w:r>
        <w:t xml:space="preserve">Why keep both? Because a recruiter wants to see the real document a person wrote, and a computer cannot rank documents fairly. So the structured version does the maths and the original does the talking.</w:t>
      </w:r>
    </w:p>
    <w:p>
      <w:r>
        <w:t xml:space="preserve">If a panelist asks how you know the file never ranks anyone, the answer is one line of code: the sort is on </w:t>
      </w:r>
      <w:r>
        <w:rPr>
          <w:rFonts w:ascii="Consolas" w:cs="Consolas" w:eastAsia="Consolas" w:hAnsi="Consolas"/>
          <w:sz w:val="19"/>
          <w:szCs w:val="19"/>
        </w:rPr>
        <w:t xml:space="preserve">score</w:t>
      </w:r>
      <w:r>
        <w:t xml:space="preserve">, and that value only ever comes from the structured resume.</w:t>
      </w:r>
    </w:p>
    <w:p>
      <w:r>
        <w:br w:type="page"/>
      </w:r>
    </w:p>
    <w:p>
      <w:pPr>
        <w:pStyle w:val="Heading1"/>
      </w:pPr>
      <w:r>
        <w:t xml:space="preserve">3 · How the score works</w:t>
      </w:r>
    </w:p>
    <w:p>
      <w:r>
        <w:t xml:space="preserve">This is the heart of the study. Learn this section well enough to explain it without notes.</w:t>
      </w:r>
    </w:p>
    <w:p>
      <w:r>
        <w:t xml:space="preserve">Every opening is worth 100 points, split three ways:</w:t>
      </w:r>
    </w:p>
    <w:tbl>
      <w:tblPr>
        <w:tblW w:type="dxa" w:w="9360"/>
        <w:tblBorders>
          <w:top w:val="single" w:color="C9CDD4" w:sz="2"/>
          <w:left w:val="none"/>
          <w:bottom w:val="single" w:color="C9CDD4" w:sz="2"/>
          <w:right w:val="none"/>
          <w:insideH w:val="single" w:color="C9CDD4" w:sz="1"/>
          <w:insideV w:val="none"/>
        </w:tblBorders>
      </w:tblPr>
      <w:tblGrid>
        <w:gridCol w:w="2200"/>
        <w:gridCol w:w="2000"/>
        <w:gridCol w:w="5160"/>
      </w:tblGrid>
      <w:tr>
        <w:trPr>
          <w:tblHeader/>
        </w:trPr>
        <w:tc>
          <w:tcPr>
            <w:tcW w:type="dxa" w:w="2200"/>
            <w:shd w:fill="F4F1EA" w:val="clear"/>
            <w:tcMar>
              <w:top w:type="dxa" w:w="90"/>
              <w:left w:type="dxa" w:w="130"/>
              <w:bottom w:type="dxa" w:w="90"/>
              <w:right w:type="dxa" w:w="130"/>
            </w:tcMar>
          </w:tcPr>
          <w:p>
            <w:r>
              <w:rPr>
                <w:b/>
                <w:bCs/>
                <w:sz w:val="19"/>
                <w:szCs w:val="19"/>
              </w:rPr>
              <w:t xml:space="preserve">Part</w:t>
            </w:r>
          </w:p>
        </w:tc>
        <w:tc>
          <w:tcPr>
            <w:tcW w:type="dxa" w:w="2000"/>
            <w:shd w:fill="F4F1EA" w:val="clear"/>
            <w:tcMar>
              <w:top w:type="dxa" w:w="90"/>
              <w:left w:type="dxa" w:w="130"/>
              <w:bottom w:type="dxa" w:w="90"/>
              <w:right w:type="dxa" w:w="130"/>
            </w:tcMar>
          </w:tcPr>
          <w:p>
            <w:r>
              <w:rPr>
                <w:b/>
                <w:bCs/>
                <w:sz w:val="19"/>
                <w:szCs w:val="19"/>
              </w:rPr>
              <w:t xml:space="preserve">Default share</w:t>
            </w:r>
          </w:p>
        </w:tc>
        <w:tc>
          <w:tcPr>
            <w:tcW w:type="dxa" w:w="5160"/>
            <w:shd w:fill="F4F1EA" w:val="clear"/>
            <w:tcMar>
              <w:top w:type="dxa" w:w="90"/>
              <w:left w:type="dxa" w:w="130"/>
              <w:bottom w:type="dxa" w:w="90"/>
              <w:right w:type="dxa" w:w="130"/>
            </w:tcMar>
          </w:tcPr>
          <w:p>
            <w:r>
              <w:rPr>
                <w:b/>
                <w:bCs/>
                <w:sz w:val="19"/>
                <w:szCs w:val="19"/>
              </w:rPr>
              <w:t xml:space="preserve">What it measures</w:t>
            </w:r>
          </w:p>
        </w:tc>
      </w:tr>
      <w:tr>
        <w:tc>
          <w:tcPr>
            <w:tcW w:type="dxa" w:w="2200"/>
            <w:tcMar>
              <w:top w:type="dxa" w:w="90"/>
              <w:left w:type="dxa" w:w="130"/>
              <w:bottom w:type="dxa" w:w="90"/>
              <w:right w:type="dxa" w:w="130"/>
            </w:tcMar>
          </w:tcPr>
          <w:p>
            <w:r>
              <w:rPr>
                <w:sz w:val="19"/>
                <w:szCs w:val="19"/>
              </w:rPr>
              <w:t xml:space="preserve">Skills</w:t>
            </w:r>
          </w:p>
        </w:tc>
        <w:tc>
          <w:tcPr>
            <w:tcW w:type="dxa" w:w="2000"/>
            <w:tcMar>
              <w:top w:type="dxa" w:w="90"/>
              <w:left w:type="dxa" w:w="130"/>
              <w:bottom w:type="dxa" w:w="90"/>
              <w:right w:type="dxa" w:w="130"/>
            </w:tcMar>
          </w:tcPr>
          <w:p>
            <w:r>
              <w:rPr>
                <w:sz w:val="19"/>
                <w:szCs w:val="19"/>
              </w:rPr>
              <w:t xml:space="preserve">50%</w:t>
            </w:r>
          </w:p>
        </w:tc>
        <w:tc>
          <w:tcPr>
            <w:tcW w:type="dxa" w:w="5160"/>
            <w:tcMar>
              <w:top w:type="dxa" w:w="90"/>
              <w:left w:type="dxa" w:w="130"/>
              <w:bottom w:type="dxa" w:w="90"/>
              <w:right w:type="dxa" w:w="130"/>
            </w:tcMar>
          </w:tcPr>
          <w:p>
            <w:r>
              <w:rPr>
                <w:sz w:val="19"/>
                <w:szCs w:val="19"/>
              </w:rPr>
              <w:t xml:space="preserve">How many of the required skills the seeker has</w:t>
            </w:r>
          </w:p>
        </w:tc>
      </w:tr>
      <w:tr>
        <w:tc>
          <w:tcPr>
            <w:tcW w:type="dxa" w:w="2200"/>
            <w:tcMar>
              <w:top w:type="dxa" w:w="90"/>
              <w:left w:type="dxa" w:w="130"/>
              <w:bottom w:type="dxa" w:w="90"/>
              <w:right w:type="dxa" w:w="130"/>
            </w:tcMar>
          </w:tcPr>
          <w:p>
            <w:r>
              <w:rPr>
                <w:sz w:val="19"/>
                <w:szCs w:val="19"/>
              </w:rPr>
              <w:t xml:space="preserve">Education</w:t>
            </w:r>
          </w:p>
        </w:tc>
        <w:tc>
          <w:tcPr>
            <w:tcW w:type="dxa" w:w="2000"/>
            <w:tcMar>
              <w:top w:type="dxa" w:w="90"/>
              <w:left w:type="dxa" w:w="130"/>
              <w:bottom w:type="dxa" w:w="90"/>
              <w:right w:type="dxa" w:w="130"/>
            </w:tcMar>
          </w:tcPr>
          <w:p>
            <w:r>
              <w:rPr>
                <w:sz w:val="19"/>
                <w:szCs w:val="19"/>
              </w:rPr>
              <w:t xml:space="preserve">25%</w:t>
            </w:r>
          </w:p>
        </w:tc>
        <w:tc>
          <w:tcPr>
            <w:tcW w:type="dxa" w:w="5160"/>
            <w:tcMar>
              <w:top w:type="dxa" w:w="90"/>
              <w:left w:type="dxa" w:w="130"/>
              <w:bottom w:type="dxa" w:w="90"/>
              <w:right w:type="dxa" w:w="130"/>
            </w:tcMar>
          </w:tcPr>
          <w:p>
            <w:r>
              <w:rPr>
                <w:sz w:val="19"/>
                <w:szCs w:val="19"/>
              </w:rPr>
              <w:t xml:space="preserve">Whether their education level reaches what is asked</w:t>
            </w:r>
          </w:p>
        </w:tc>
      </w:tr>
      <w:tr>
        <w:tc>
          <w:tcPr>
            <w:tcW w:type="dxa" w:w="2200"/>
            <w:tcMar>
              <w:top w:type="dxa" w:w="90"/>
              <w:left w:type="dxa" w:w="130"/>
              <w:bottom w:type="dxa" w:w="90"/>
              <w:right w:type="dxa" w:w="130"/>
            </w:tcMar>
          </w:tcPr>
          <w:p>
            <w:r>
              <w:rPr>
                <w:sz w:val="19"/>
                <w:szCs w:val="19"/>
              </w:rPr>
              <w:t xml:space="preserve">Experience</w:t>
            </w:r>
          </w:p>
        </w:tc>
        <w:tc>
          <w:tcPr>
            <w:tcW w:type="dxa" w:w="2000"/>
            <w:tcMar>
              <w:top w:type="dxa" w:w="90"/>
              <w:left w:type="dxa" w:w="130"/>
              <w:bottom w:type="dxa" w:w="90"/>
              <w:right w:type="dxa" w:w="130"/>
            </w:tcMar>
          </w:tcPr>
          <w:p>
            <w:r>
              <w:rPr>
                <w:sz w:val="19"/>
                <w:szCs w:val="19"/>
              </w:rPr>
              <w:t xml:space="preserve">25%</w:t>
            </w:r>
          </w:p>
        </w:tc>
        <w:tc>
          <w:tcPr>
            <w:tcW w:type="dxa" w:w="5160"/>
            <w:tcMar>
              <w:top w:type="dxa" w:w="90"/>
              <w:left w:type="dxa" w:w="130"/>
              <w:bottom w:type="dxa" w:w="90"/>
              <w:right w:type="dxa" w:w="130"/>
            </w:tcMar>
          </w:tcPr>
          <w:p>
            <w:r>
              <w:rPr>
                <w:sz w:val="19"/>
                <w:szCs w:val="19"/>
              </w:rPr>
              <w:t xml:space="preserve">Whether their months of experience reach what is asked</w:t>
            </w:r>
          </w:p>
        </w:tc>
      </w:tr>
    </w:tbl>
    <w:p>
      <w:r>
        <w:t xml:space="preserve">Each part is scored from 0 to 1, multiplied by its share, and added up:</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score  =  (skills × 0.50  +  education × 0.25  +  experience × 0.25) × 100</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then rounded to a whole number, half rounding up.</w:t>
            </w:r>
          </w:p>
        </w:tc>
      </w:tr>
    </w:tbl>
    <w:p>
      <w:pPr>
        <w:pStyle w:val="Heading2"/>
      </w:pPr>
      <w:r>
        <w:t xml:space="preserve">A worked example</w:t>
      </w:r>
    </w:p>
    <w:p>
      <w:r>
        <w:t xml:space="preserve">Ana Reyes applies for Junior Web Developer. The opening asks for four skills — HTML/CSS, JavaScript, Git, Troubleshooting — a bachelor degree, and no minimum experience.</w:t>
      </w:r>
    </w:p>
    <w:p>
      <w:r>
        <w:t xml:space="preserve">Ana has three of the four skills, a bachelor degree, and six months of internship.</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 xml:space="preserve">skills      3 of 4          = 0.75      × 0.50  =  0.375</w:t>
            </w:r>
          </w:p>
          <w:p>
            <w:pPr>
              <w:spacing w:after="20" w:line="260"/>
            </w:pPr>
            <w:r>
              <w:rPr>
                <w:rFonts w:ascii="Consolas" w:cs="Consolas" w:eastAsia="Consolas" w:hAnsi="Consolas"/>
                <w:sz w:val="18"/>
                <w:szCs w:val="18"/>
              </w:rPr>
              <w:t xml:space="preserve">education   bachelor met     = 1.00      × 0.25  =  0.250</w:t>
            </w:r>
          </w:p>
          <w:p>
            <w:pPr>
              <w:spacing w:after="20" w:line="260"/>
            </w:pPr>
            <w:r>
              <w:rPr>
                <w:rFonts w:ascii="Consolas" w:cs="Consolas" w:eastAsia="Consolas" w:hAnsi="Consolas"/>
                <w:sz w:val="18"/>
                <w:szCs w:val="18"/>
              </w:rPr>
              <w:t xml:space="preserve">experience  0 months required = 1.00     × 0.25  =  0.250</w:t>
            </w:r>
          </w:p>
          <w:p>
            <w:pPr>
              <w:spacing w:after="20" w:line="260"/>
            </w:pPr>
            <w:r>
              <w:rPr>
                <w:rFonts w:ascii="Consolas" w:cs="Consolas" w:eastAsia="Consolas" w:hAnsi="Consolas"/>
                <w:sz w:val="18"/>
                <w:szCs w:val="18"/>
              </w:rPr>
              <w:t xml:space="preserve">                                          total  =  0.875</w:t>
            </w:r>
          </w:p>
          <w:p>
            <w:pPr>
              <w:spacing w:after="20" w:line="260"/>
            </w:pPr>
            <w:r>
              <w:rPr>
                <w:rFonts w:ascii="Consolas" w:cs="Consolas" w:eastAsia="Consolas" w:hAnsi="Consolas"/>
                <w:sz w:val="18"/>
                <w:szCs w:val="18"/>
              </w:rPr>
              <w:t xml:space="preserve"/>
            </w:r>
          </w:p>
          <w:p>
            <w:pPr>
              <w:spacing w:after="20" w:line="260"/>
            </w:pPr>
            <w:r>
              <w:rPr>
                <w:rFonts w:ascii="Consolas" w:cs="Consolas" w:eastAsia="Consolas" w:hAnsi="Consolas"/>
                <w:sz w:val="18"/>
                <w:szCs w:val="18"/>
              </w:rPr>
              <w:t xml:space="preserve">0.875 × 100 = 87.5   →   rounds to  88   →   STRONG MATCH</w:t>
            </w:r>
          </w:p>
        </w:tc>
      </w:tr>
    </w:tbl>
    <w:p>
      <w:r>
        <w:t>That 88 is a real number produced by the real code, not an illustration. Ana sees the 88, sees that she matched three of four skills, and is told that one technical requirement is not on her resume. She is not told which one — the posting states what it asks for, and she compares it herself. That is the transparency the study is testing.</w:t>
      </w:r>
    </w:p>
    <w:p>
      <w:pPr>
        <w:pStyle w:val="Heading2"/>
      </w:pPr>
      <w:r>
        <w:t>Saying where you used a skill</w:t>
      </w:r>
    </w:p>
    <w:p>
      <w:r>
        <w:t>One question was added to the builder after the first version of this guide. When a seeker lists a skill, the builder asks where they used it — and the answer has to point at something already on their own resume: a job, a project, a certification, a course, or the file they uploaded. It is a dropdown, never a text box.</w:t>
      </w:r>
    </w:p>
    <w:p>
      <w:r>
        <w:t>A skill they can point to counts in full. A skill with no source still counts, at half. Never zero — plenty of real skills are self-taught or come from work too small to list, and refusing to count those would punish exactly the applicants this study exists to help.</w:t>
      </w:r>
    </w:p>
    <w:p>
      <w:r>
        <w:t>The reason it exists: every opening publishes the skills it asks for, so an applicant could read that list and type those exact words into their resume minutes before applying, at no cost. Now padding the list means also inventing the job it came from, and the recruiter sees a panel listing every skill beside its source, with “no source given” against the ones that have none.</w:t>
      </w:r>
    </w:p>
    <w:p>
      <w:r>
        <w:t>Ana from the example above, with one of her three skills unsourced:</w:t>
      </w:r>
    </w:p>
    <w:tbl>
      <w:tblPr>
        <w:tblW w:type="dxa" w:w="9360"/>
        <w:tblBorders>
          <w:top w:val="single" w:color="C9CDD4" w:sz="2"/>
          <w:left w:val="single" w:color="C9CDD4" w:sz="2"/>
          <w:bottom w:val="single" w:color="C9CDD4" w:sz="2"/>
          <w:right w:val="single" w:color="C9CDD4" w:sz="2"/>
          <w:insideH w:val="none"/>
          <w:insideV w:val="none"/>
        </w:tblBorders>
      </w:tblPr>
      <w:tblGrid>
        <w:gridCol w:w="9360"/>
      </w:tblGrid>
      <w:tr>
        <w:tc>
          <w:tcPr>
            <w:tcW w:type="dxa" w:w="9360"/>
            <w:shd w:fill="F4F1EA" w:val="clear"/>
            <w:tcMar>
              <w:top w:type="dxa" w:w="140"/>
              <w:left w:type="dxa" w:w="180"/>
              <w:bottom w:type="dxa" w:w="140"/>
              <w:right w:type="dxa" w:w="180"/>
            </w:tcMar>
          </w:tcPr>
          <w:p>
            <w:pPr>
              <w:spacing w:after="20" w:line="260"/>
            </w:pPr>
            <w:r>
              <w:rPr>
                <w:rFonts w:ascii="Consolas" w:cs="Consolas" w:eastAsia="Consolas" w:hAnsi="Consolas"/>
                <w:sz w:val="18"/>
                <w:szCs w:val="18"/>
              </w:rPr>
              <w:t>all three sourced      3 − 0 × 0.5  =  3.00 of 4  =  0.750  × 0.50  =  0.3750</w:t>
            </w:r>
          </w:p>
          <w:p>
            <w:pPr>
              <w:spacing w:after="20" w:line="260"/>
            </w:pPr>
            <w:r>
              <w:rPr>
                <w:rFonts w:ascii="Consolas" w:cs="Consolas" w:eastAsia="Consolas" w:hAnsi="Consolas"/>
                <w:sz w:val="18"/>
                <w:szCs w:val="18"/>
              </w:rPr>
              <w:t xml:space="preserve">                                                   raw  =  87.5   →   88   STRONG</w:t>
            </w:r>
          </w:p>
          <w:p>
            <w:pPr>
              <w:spacing w:after="20" w:line="260"/>
            </w:pPr>
            <w:r>
              <w:rPr>
                <w:rFonts w:ascii="Consolas" w:cs="Consolas" w:eastAsia="Consolas" w:hAnsi="Consolas"/>
                <w:sz w:val="18"/>
                <w:szCs w:val="18"/>
              </w:rPr>
            </w:r>
          </w:p>
          <w:p>
            <w:pPr>
              <w:spacing w:after="20" w:line="260"/>
            </w:pPr>
            <w:r>
              <w:rPr>
                <w:rFonts w:ascii="Consolas" w:cs="Consolas" w:eastAsia="Consolas" w:hAnsi="Consolas"/>
                <w:sz w:val="18"/>
                <w:szCs w:val="18"/>
              </w:rPr>
              <w:t>one with no source     3 − 1 × 0.5  =  2.50 of 4  =  0.625  × 0.50  =  0.3125</w:t>
            </w:r>
          </w:p>
          <w:p>
            <w:pPr>
              <w:spacing w:after="20" w:line="260"/>
            </w:pPr>
            <w:r>
              <w:rPr>
                <w:rFonts w:ascii="Consolas" w:cs="Consolas" w:eastAsia="Consolas" w:hAnsi="Consolas"/>
                <w:sz w:val="18"/>
                <w:szCs w:val="18"/>
              </w:rPr>
              <w:t xml:space="preserve">                                                   raw  =  81.25  →   81   STRONG</w:t>
            </w:r>
          </w:p>
        </w:tc>
      </w:tr>
    </w:tbl>
    <w:p>
      <w:r>
        <w:t>Be honest about the limit, because a panelist will find it otherwise. This makes padding cost something; it does not make it impossible. An applicant with one real skill out of four who types in the other three used to score 100. They now score 81 — lower, and still on the list.</w:t>
      </w:r>
    </w:p>
    <w:p>
      <w:r>
        <w:t>None of this is printed on the resume. The document the applicant downloads is a plain list of skills exactly as before. A company name welded onto every skill would confuse the employer’s own screening software, which is the very problem the study is about; the source is shown only to the recruiter reading the application.</w:t>
      </w:r>
    </w:p>
    <w:p>
      <w:pPr>
        <w:pStyle w:val="Heading2"/>
      </w:pPr>
      <w:r>
        <w:t xml:space="preserve">The three bands</w:t>
      </w:r>
    </w:p>
    <w:tbl>
      <w:tblPr>
        <w:tblW w:type="dxa" w:w="9360"/>
        <w:tblBorders>
          <w:top w:val="single" w:color="C9CDD4" w:sz="2"/>
          <w:left w:val="none"/>
          <w:bottom w:val="single" w:color="C9CDD4" w:sz="2"/>
          <w:right w:val="none"/>
          <w:insideH w:val="single" w:color="C9CDD4" w:sz="1"/>
          <w:insideV w:val="none"/>
        </w:tblBorders>
      </w:tblPr>
      <w:tblGrid>
        <w:gridCol w:w="2100"/>
        <w:gridCol w:w="2000"/>
        <w:gridCol w:w="5260"/>
      </w:tblGrid>
      <w:tr>
        <w:trPr>
          <w:tblHeader/>
        </w:trPr>
        <w:tc>
          <w:tcPr>
            <w:tcW w:type="dxa" w:w="2100"/>
            <w:shd w:fill="F4F1EA" w:val="clear"/>
            <w:tcMar>
              <w:top w:type="dxa" w:w="90"/>
              <w:left w:type="dxa" w:w="130"/>
              <w:bottom w:type="dxa" w:w="90"/>
              <w:right w:type="dxa" w:w="130"/>
            </w:tcMar>
          </w:tcPr>
          <w:p>
            <w:r>
              <w:rPr>
                <w:b/>
                <w:bCs/>
                <w:sz w:val="19"/>
                <w:szCs w:val="19"/>
              </w:rPr>
              <w:t xml:space="preserve">Score</w:t>
            </w:r>
          </w:p>
        </w:tc>
        <w:tc>
          <w:tcPr>
            <w:tcW w:type="dxa" w:w="2000"/>
            <w:shd w:fill="F4F1EA" w:val="clear"/>
            <w:tcMar>
              <w:top w:type="dxa" w:w="90"/>
              <w:left w:type="dxa" w:w="130"/>
              <w:bottom w:type="dxa" w:w="90"/>
              <w:right w:type="dxa" w:w="130"/>
            </w:tcMar>
          </w:tcPr>
          <w:p>
            <w:r>
              <w:rPr>
                <w:b/>
                <w:bCs/>
                <w:sz w:val="19"/>
                <w:szCs w:val="19"/>
              </w:rPr>
              <w:t xml:space="preserve">Label</w:t>
            </w:r>
          </w:p>
        </w:tc>
        <w:tc>
          <w:tcPr>
            <w:tcW w:type="dxa" w:w="5260"/>
            <w:shd w:fill="F4F1EA" w:val="clear"/>
            <w:tcMar>
              <w:top w:type="dxa" w:w="90"/>
              <w:left w:type="dxa" w:w="130"/>
              <w:bottom w:type="dxa" w:w="90"/>
              <w:right w:type="dxa" w:w="130"/>
            </w:tcMar>
          </w:tcPr>
          <w:p>
            <w:r>
              <w:rPr>
                <w:b/>
                <w:bCs/>
                <w:sz w:val="19"/>
                <w:szCs w:val="19"/>
              </w:rPr>
              <w:t xml:space="preserve">What the seeker sees</w:t>
            </w:r>
          </w:p>
        </w:tc>
      </w:tr>
      <w:tr>
        <w:tc>
          <w:tcPr>
            <w:tcW w:type="dxa" w:w="2100"/>
            <w:tcMar>
              <w:top w:type="dxa" w:w="90"/>
              <w:left w:type="dxa" w:w="130"/>
              <w:bottom w:type="dxa" w:w="90"/>
              <w:right w:type="dxa" w:w="130"/>
            </w:tcMar>
          </w:tcPr>
          <w:p>
            <w:r>
              <w:rPr>
                <w:sz w:val="19"/>
                <w:szCs w:val="19"/>
              </w:rPr>
              <w:t xml:space="preserve">80 and above</w:t>
            </w:r>
          </w:p>
        </w:tc>
        <w:tc>
          <w:tcPr>
            <w:tcW w:type="dxa" w:w="2000"/>
            <w:tcMar>
              <w:top w:type="dxa" w:w="90"/>
              <w:left w:type="dxa" w:w="130"/>
              <w:bottom w:type="dxa" w:w="90"/>
              <w:right w:type="dxa" w:w="130"/>
            </w:tcMar>
          </w:tcPr>
          <w:p>
            <w:r>
              <w:rPr>
                <w:sz w:val="19"/>
                <w:szCs w:val="19"/>
              </w:rPr>
              <w:t xml:space="preserve">Strong match</w:t>
            </w:r>
          </w:p>
        </w:tc>
        <w:tc>
          <w:tcPr>
            <w:tcW w:type="dxa" w:w="5260"/>
            <w:tcMar>
              <w:top w:type="dxa" w:w="90"/>
              <w:left w:type="dxa" w:w="130"/>
              <w:bottom w:type="dxa" w:w="90"/>
              <w:right w:type="dxa" w:w="130"/>
            </w:tcMar>
          </w:tcPr>
          <w:p>
            <w:r>
              <w:rPr>
                <w:sz w:val="19"/>
                <w:szCs w:val="19"/>
              </w:rPr>
              <w:t xml:space="preserve">Apply — you meet most of what they asked for</w:t>
            </w:r>
          </w:p>
        </w:tc>
      </w:tr>
      <w:tr>
        <w:tc>
          <w:tcPr>
            <w:tcW w:type="dxa" w:w="2100"/>
            <w:tcMar>
              <w:top w:type="dxa" w:w="90"/>
              <w:left w:type="dxa" w:w="130"/>
              <w:bottom w:type="dxa" w:w="90"/>
              <w:right w:type="dxa" w:w="130"/>
            </w:tcMar>
          </w:tcPr>
          <w:p>
            <w:r>
              <w:rPr>
                <w:sz w:val="19"/>
                <w:szCs w:val="19"/>
              </w:rPr>
              <w:t xml:space="preserve">50 to 79</w:t>
            </w:r>
          </w:p>
        </w:tc>
        <w:tc>
          <w:tcPr>
            <w:tcW w:type="dxa" w:w="2000"/>
            <w:tcMar>
              <w:top w:type="dxa" w:w="90"/>
              <w:left w:type="dxa" w:w="130"/>
              <w:bottom w:type="dxa" w:w="90"/>
              <w:right w:type="dxa" w:w="130"/>
            </w:tcMar>
          </w:tcPr>
          <w:p>
            <w:r>
              <w:rPr>
                <w:sz w:val="19"/>
                <w:szCs w:val="19"/>
              </w:rPr>
              <w:t xml:space="preserve">Possible match</w:t>
            </w:r>
          </w:p>
        </w:tc>
        <w:tc>
          <w:tcPr>
            <w:tcW w:type="dxa" w:w="5260"/>
            <w:tcMar>
              <w:top w:type="dxa" w:w="90"/>
              <w:left w:type="dxa" w:w="130"/>
              <w:bottom w:type="dxa" w:w="90"/>
              <w:right w:type="dxa" w:w="130"/>
            </w:tcMar>
          </w:tcPr>
          <w:p>
            <w:r>
              <w:rPr>
                <w:sz w:val="19"/>
                <w:szCs w:val="19"/>
              </w:rPr>
              <w:t xml:space="preserve">Worth applying; here is what you are missing</w:t>
            </w:r>
          </w:p>
        </w:tc>
      </w:tr>
      <w:tr>
        <w:tc>
          <w:tcPr>
            <w:tcW w:type="dxa" w:w="2100"/>
            <w:tcMar>
              <w:top w:type="dxa" w:w="90"/>
              <w:left w:type="dxa" w:w="130"/>
              <w:bottom w:type="dxa" w:w="90"/>
              <w:right w:type="dxa" w:w="130"/>
            </w:tcMar>
          </w:tcPr>
          <w:p>
            <w:r>
              <w:rPr>
                <w:sz w:val="19"/>
                <w:szCs w:val="19"/>
              </w:rPr>
              <w:t xml:space="preserve">Below 50</w:t>
            </w:r>
          </w:p>
        </w:tc>
        <w:tc>
          <w:tcPr>
            <w:tcW w:type="dxa" w:w="2000"/>
            <w:tcMar>
              <w:top w:type="dxa" w:w="90"/>
              <w:left w:type="dxa" w:w="130"/>
              <w:bottom w:type="dxa" w:w="90"/>
              <w:right w:type="dxa" w:w="130"/>
            </w:tcMar>
          </w:tcPr>
          <w:p>
            <w:r>
              <w:rPr>
                <w:sz w:val="19"/>
                <w:szCs w:val="19"/>
              </w:rPr>
              <w:t xml:space="preserve">Related role</w:t>
            </w:r>
          </w:p>
        </w:tc>
        <w:tc>
          <w:tcPr>
            <w:tcW w:type="dxa" w:w="5260"/>
            <w:tcMar>
              <w:top w:type="dxa" w:w="90"/>
              <w:left w:type="dxa" w:w="130"/>
              <w:bottom w:type="dxa" w:w="90"/>
              <w:right w:type="dxa" w:w="130"/>
            </w:tcMar>
          </w:tcPr>
          <w:p>
            <w:r>
              <w:rPr>
                <w:sz w:val="19"/>
                <w:szCs w:val="19"/>
              </w:rPr>
              <w:t xml:space="preserve">Consider building these skills first</w:t>
            </w:r>
          </w:p>
        </w:tc>
      </w:tr>
    </w:tbl>
    <w:p>
      <w:pPr>
        <w:pStyle w:val="Heading2"/>
      </w:pPr>
      <w:r>
        <w:t xml:space="preserve">One thing that surprises people</w:t>
      </w:r>
    </w:p>
    <w:p>
      <w:r>
        <w:t xml:space="preserve">A recruiter can change the 50/25/25 split for their own opening. A call-centre role might weight skills at 70. When they do, the site shows that opening's own numbers everywhere — the seeker never sees 50/25/25 next to a score that did not use it.</w:t>
      </w:r>
    </w:p>
    <w:p>
      <w:r>
        <w:br w:type="page"/>
      </w:r>
    </w:p>
    <w:p>
      <w:pPr>
        <w:pStyle w:val="Heading1"/>
      </w:pPr>
      <w:r>
        <w:t xml:space="preserve">4 · Where the AI is, and where it is not</w:t>
      </w:r>
    </w:p>
    <w:p>
      <w:r>
        <w:t xml:space="preserve">Say this sentence until it is automatic:</w:t>
      </w:r>
    </w:p>
    <w:p>
      <w:pPr>
        <w:jc w:val="center"/>
      </w:pPr>
      <w:r>
        <w:rPr>
          <w:b/>
          <w:bCs/>
        </w:rPr>
        <w:t xml:space="preserve">The AI reads documents. It does not score anyone.</w:t>
      </w:r>
    </w:p>
    <w:p>
      <w:r>
        <w:t xml:space="preserve">There is exactly one place on the site where artificial intelligence runs: the Upload and analyse page. A seeker who already has a resume can upload it, and the system reads it and fills in the builder for them. The seeker then checks every field and corrects anything wrong before saving.</w:t>
      </w:r>
    </w:p>
    <w:p>
      <w:r>
        <w:t xml:space="preserve">After that, the ordinary formula scores it — the same formula, the same weights, as a resume typed in by hand. The AI has no say in the number.</w:t>
      </w:r>
    </w:p>
    <w:p>
      <w:pPr>
        <w:pStyle w:val="Heading2"/>
      </w:pPr>
      <w:r>
        <w:t xml:space="preserve">The two readers</w:t>
      </w:r>
    </w:p>
    <w:p>
      <w:r>
        <w:t xml:space="preserve">The system has two ways to read an uploaded document, and a setting picks between them.</w:t>
      </w:r>
    </w:p>
    <w:p>
      <w:pPr>
        <w:pStyle w:val="ListParagraph"/>
        <w:numPr>
          <w:ilvl w:val="0"/>
          <w:numId w:val="2"/>
        </w:numPr>
        <w:spacing w:after="70"/>
      </w:pPr>
      <w:r>
        <w:rPr>
          <w:b/>
          <w:bCs/>
        </w:rPr>
        <w:t xml:space="preserve">Google Gemini</w:t>
      </w:r>
      <w:r>
        <w:t xml:space="preserve"> — good at photos, scans and messy layouts. The document is sent to Google.</w:t>
      </w:r>
    </w:p>
    <w:p>
      <w:pPr>
        <w:pStyle w:val="ListParagraph"/>
        <w:numPr>
          <w:ilvl w:val="0"/>
          <w:numId w:val="2"/>
        </w:numPr>
        <w:spacing w:after="70"/>
      </w:pPr>
      <w:r>
        <w:rPr>
          <w:b/>
          <w:bCs/>
        </w:rPr>
        <w:t xml:space="preserve">Our own rule-based reader</w:t>
      </w:r>
      <w:r>
        <w:t xml:space="preserve"> — pattern matching only, no AI. The document never leaves our server, but it cannot read a photo.</w:t>
      </w:r>
    </w:p>
    <w:p>
      <w:r>
        <w:t xml:space="preserve">Normally the setting is "auto": try Gemini first, and if anything goes wrong — no key, quota used up, network down, an unreadable answer — the rule-based reader catches it. The applicant always gets a result; only the quality changes.</w:t>
      </w:r>
    </w:p>
    <w:p>
      <w:pPr>
        <w:pStyle w:val="Heading2"/>
      </w:pPr>
      <w:r>
        <w:t xml:space="preserve">Consent</w:t>
      </w:r>
    </w:p>
    <w:p>
      <w:r>
        <w:t xml:space="preserve">Before a seeker uploads anything, the page asks their permission, and the wording changes depending on which reader is configured. If Gemini is on, the notice says plainly that the file will be sent to Google, a company outside the Philippines. That is a requirement of the Data Privacy Act: consent has to be informed at the moment it is given, not buried on a page nobody opens.</w:t>
      </w:r>
    </w:p>
    <w:p>
      <w:r>
        <w:br w:type="page"/>
      </w:r>
    </w:p>
    <w:p>
      <w:pPr>
        <w:pStyle w:val="Heading1"/>
      </w:pPr>
      <w:r>
        <w:t>5 · Twelve questions and how to answer them</w:t>
      </w:r>
    </w:p>
    <w:p>
      <w:pPr>
        <w:pStyle w:val="Heading3"/>
      </w:pPr>
      <w:r>
        <w:t xml:space="preserve">1.  Is this an AI system?</w:t>
      </w:r>
    </w:p>
    <w:p>
      <w:r>
        <w:t xml:space="preserve">No. The matching is a fixed arithmetic formula anyone can check by hand. AI is used in one optional place — reading an uploaded document into the builder — and it never touches the score.</w:t>
      </w:r>
    </w:p>
    <w:p>
      <w:pPr>
        <w:pStyle w:val="Heading3"/>
      </w:pPr>
      <w:r>
        <w:t xml:space="preserve">2.  How do you know the AI does not influence the ranking?</w:t>
      </w:r>
    </w:p>
    <w:p>
      <w:r>
        <w:t xml:space="preserve">The ranking sorts on one value, and that value is computed only from the structured resume. The uploaded file has its own separate score that is displayed but never sorted on.</w:t>
      </w:r>
    </w:p>
    <w:p>
      <w:pPr>
        <w:pStyle w:val="Heading3"/>
      </w:pPr>
      <w:r>
        <w:t xml:space="preserve">3.  Why 50/25/25?</w:t>
      </w:r>
    </w:p>
    <w:p>
      <w:r>
        <w:t xml:space="preserve">It is our stated default, chosen because skills are what postings specify most concretely. It is not claimed to be optimal — and a recruiter can change it per opening, which is itself part of what we are studying.</w:t>
      </w:r>
    </w:p>
    <w:p>
      <w:pPr>
        <w:pStyle w:val="Heading3"/>
      </w:pPr>
      <w:r>
        <w:t xml:space="preserve">4.  What stops a recruiter gaming the weights?</w:t>
      </w:r>
    </w:p>
    <w:p>
      <w:r>
        <w:t xml:space="preserve">Nothing hides them. Whatever weights an opening uses are displayed to the seeker next to the score, so a lopsided weighting is visible to the person being scored.</w:t>
      </w:r>
    </w:p>
    <w:p>
      <w:pPr>
        <w:pStyle w:val="Heading3"/>
      </w:pPr>
      <w:r>
        <w:t xml:space="preserve">5.  Can the system reject an applicant automatically?</w:t>
      </w:r>
    </w:p>
    <w:p>
      <w:r>
        <w:t xml:space="preserve">No. Every status change is made by a named human and recorded in an audit table with who did it. There is not one row in that table attributable to the system.</w:t>
      </w:r>
    </w:p>
    <w:p>
      <w:pPr>
        <w:pStyle w:val="Heading3"/>
      </w:pPr>
      <w:r>
        <w:t xml:space="preserve">6.  What happens to an applicant's personal data?</w:t>
      </w:r>
    </w:p>
    <w:p>
      <w:r>
        <w:t xml:space="preserve">It is stored in our database. Uploaded files sit outside the public web folder and are served only through a route that checks who is asking. If Gemini is enabled, uploaded documents go to Google — and the consent notice says so before the upload.</w:t>
      </w:r>
    </w:p>
    <w:p>
      <w:pPr>
        <w:pStyle w:val="Heading3"/>
      </w:pPr>
      <w:r>
        <w:t xml:space="preserve">7.  Is the score fair to career shifters?</w:t>
      </w:r>
    </w:p>
    <w:p>
      <w:r>
        <w:t>Partly, and we say so in the limitations. Someone with unrelated experience can score low even when capable. The transparency is the mitigation, not a fix: they can see how far short they fell and on which kind of requirement.</w:t>
      </w:r>
    </w:p>
    <w:p>
      <w:pPr>
        <w:pStyle w:val="Heading3"/>
      </w:pPr>
      <w:r>
        <w:t xml:space="preserve">8.  Why does education use a ladder?</w:t>
      </w:r>
    </w:p>
    <w:p>
      <w:r>
        <w:t xml:space="preserve">Levels are ranked none, high school, vocational, associate, bachelor, master. If an opening asks for a bachelor and you have a master, you get full credit — never more than full.</w:t>
      </w:r>
    </w:p>
    <w:p>
      <w:pPr>
        <w:pStyle w:val="Heading3"/>
      </w:pPr>
      <w:r>
        <w:t xml:space="preserve">9.  What if a posting asks for no experience?</w:t>
      </w:r>
    </w:p>
    <w:p>
      <w:r>
        <w:t xml:space="preserve">Then everyone gets full marks for that part. The formula divides by what is required, so requiring nothing means nothing to fall short of.</w:t>
      </w:r>
    </w:p>
    <w:p>
      <w:pPr>
        <w:pStyle w:val="Heading3"/>
      </w:pPr>
      <w:r>
        <w:t xml:space="preserve">10.  What have you actually proven?</w:t>
      </w:r>
    </w:p>
    <w:p>
      <w:r>
        <w:t xml:space="preserve">Nothing yet — data collection is what the instruments are for. What we can demonstrate today is that the system works and that its published constants match the running code exactly.</w:t>
      </w:r>
    </w:p>
    <w:p>
      <w:pPr>
        <w:pStyle w:val="Heading3"/>
      </w:pPr>
      <w:r>
        <w:t>11.  Can someone just type in the skills the posting asks for?</w:t>
      </w:r>
    </w:p>
    <w:p>
      <w:r>
        <w:t>They can — the required skills are printed on the opening, and hiding them would be worse. What changed is the price. A skill with no source counts half, so padding four required skills with three invented ones reaches 81 rather than 100. And the score a recruiter ranks on is the one recorded when the application was sent, so improving a resume afterwards never reorders a shortlist that has already been worked.</w:t>
      </w:r>
    </w:p>
    <w:p>
      <w:pPr>
        <w:pStyle w:val="Heading3"/>
      </w:pPr>
      <w:r>
        <w:t>12.  Does the applicant ever find out why they were rejected?</w:t>
      </w:r>
    </w:p>
    <w:p>
      <w:r>
        <w:t>Yes, when the recruiter recorded one. They are shown the reason in plain second-person wording — “The employer tried to reach you and could not. Check the phone number and email on your resume.” They are not shown which member of staff made the decision. This was built the other way round first and changed deliberately: the problem the study starts from is applicants who hear nothing back, so recording the reason and then withholding it would argue against our own Chapter 1.</w:t>
      </w:r>
    </w:p>
    <w:p>
      <w:r>
        <w:br w:type="page"/>
      </w:r>
    </w:p>
    <w:p>
      <w:pPr>
        <w:pStyle w:val="Heading1"/>
      </w:pPr>
      <w:r>
        <w:t xml:space="preserve">6 · Numbers to memorise</w:t>
      </w:r>
    </w:p>
    <w:p>
      <w:r>
        <w:t xml:space="preserve">If a panelist asks for a figure, these are the ones that matter. Every one has been checked against the running code.</w:t>
      </w:r>
    </w:p>
    <w:tbl>
      <w:tblPr>
        <w:tblW w:type="dxa" w:w="9360"/>
        <w:tblBorders>
          <w:top w:val="single" w:color="C9CDD4" w:sz="2"/>
          <w:left w:val="none"/>
          <w:bottom w:val="single" w:color="C9CDD4" w:sz="2"/>
          <w:right w:val="none"/>
          <w:insideH w:val="single" w:color="C9CDD4" w:sz="1"/>
          <w:insideV w:val="none"/>
        </w:tblBorders>
      </w:tblPr>
      <w:tblGrid>
        <w:gridCol w:w="6260"/>
        <w:gridCol w:w="3100"/>
      </w:tblGrid>
      <w:tr>
        <w:trPr>
          <w:tblHeader/>
        </w:trPr>
        <w:tc>
          <w:tcPr>
            <w:tcW w:type="dxa" w:w="6260"/>
            <w:shd w:fill="F4F1EA" w:val="clear"/>
            <w:tcMar>
              <w:top w:type="dxa" w:w="90"/>
              <w:left w:type="dxa" w:w="130"/>
              <w:bottom w:type="dxa" w:w="90"/>
              <w:right w:type="dxa" w:w="130"/>
            </w:tcMar>
          </w:tcPr>
          <w:p>
            <w:r>
              <w:rPr>
                <w:b/>
                <w:bCs/>
                <w:sz w:val="19"/>
                <w:szCs w:val="19"/>
              </w:rPr>
              <w:t xml:space="preserve">What</w:t>
            </w:r>
          </w:p>
        </w:tc>
        <w:tc>
          <w:tcPr>
            <w:tcW w:type="dxa" w:w="3100"/>
            <w:shd w:fill="F4F1EA" w:val="clear"/>
            <w:tcMar>
              <w:top w:type="dxa" w:w="90"/>
              <w:left w:type="dxa" w:w="130"/>
              <w:bottom w:type="dxa" w:w="90"/>
              <w:right w:type="dxa" w:w="130"/>
            </w:tcMar>
          </w:tcPr>
          <w:p>
            <w:r>
              <w:rPr>
                <w:b/>
                <w:bCs/>
                <w:sz w:val="19"/>
                <w:szCs w:val="19"/>
              </w:rPr>
              <w:t xml:space="preserve">Number</w:t>
            </w:r>
          </w:p>
        </w:tc>
      </w:tr>
      <w:tr>
        <w:tc>
          <w:tcPr>
            <w:tcW w:type="dxa" w:w="6260"/>
            <w:tcMar>
              <w:top w:type="dxa" w:w="90"/>
              <w:left w:type="dxa" w:w="130"/>
              <w:bottom w:type="dxa" w:w="90"/>
              <w:right w:type="dxa" w:w="130"/>
            </w:tcMar>
          </w:tcPr>
          <w:p>
            <w:r>
              <w:rPr>
                <w:sz w:val="19"/>
                <w:szCs w:val="19"/>
              </w:rPr>
              <w:t xml:space="preserve">Default weights (skills / education / experience)</w:t>
            </w:r>
          </w:p>
        </w:tc>
        <w:tc>
          <w:tcPr>
            <w:tcW w:type="dxa" w:w="3100"/>
            <w:tcMar>
              <w:top w:type="dxa" w:w="90"/>
              <w:left w:type="dxa" w:w="130"/>
              <w:bottom w:type="dxa" w:w="90"/>
              <w:right w:type="dxa" w:w="130"/>
            </w:tcMar>
          </w:tcPr>
          <w:p>
            <w:r>
              <w:rPr>
                <w:sz w:val="19"/>
                <w:szCs w:val="19"/>
              </w:rPr>
              <w:t xml:space="preserve">50 / 25 / 25</w:t>
            </w:r>
          </w:p>
        </w:tc>
      </w:tr>
      <w:tr>
        <w:tc>
          <w:tcPr>
            <w:tcW w:type="dxa" w:w="6260"/>
            <w:tcMar>
              <w:top w:type="dxa" w:w="90"/>
              <w:left w:type="dxa" w:w="130"/>
              <w:bottom w:type="dxa" w:w="90"/>
              <w:right w:type="dxa" w:w="130"/>
            </w:tcMar>
          </w:tcPr>
          <w:p>
            <w:r>
              <w:rPr>
                <w:sz w:val="19"/>
                <w:szCs w:val="19"/>
              </w:rPr>
              <w:t xml:space="preserve">Strong match threshold</w:t>
            </w:r>
          </w:p>
        </w:tc>
        <w:tc>
          <w:tcPr>
            <w:tcW w:type="dxa" w:w="3100"/>
            <w:tcMar>
              <w:top w:type="dxa" w:w="90"/>
              <w:left w:type="dxa" w:w="130"/>
              <w:bottom w:type="dxa" w:w="90"/>
              <w:right w:type="dxa" w:w="130"/>
            </w:tcMar>
          </w:tcPr>
          <w:p>
            <w:r>
              <w:rPr>
                <w:sz w:val="19"/>
                <w:szCs w:val="19"/>
              </w:rPr>
              <w:t xml:space="preserve">80 and above</w:t>
            </w:r>
          </w:p>
        </w:tc>
      </w:tr>
      <w:tr>
        <w:tc>
          <w:tcPr>
            <w:tcW w:type="dxa" w:w="6260"/>
            <w:tcMar>
              <w:top w:type="dxa" w:w="90"/>
              <w:left w:type="dxa" w:w="130"/>
              <w:bottom w:type="dxa" w:w="90"/>
              <w:right w:type="dxa" w:w="130"/>
            </w:tcMar>
          </w:tcPr>
          <w:p>
            <w:r>
              <w:rPr>
                <w:sz w:val="19"/>
                <w:szCs w:val="19"/>
              </w:rPr>
              <w:t xml:space="preserve">Possible match threshold</w:t>
            </w:r>
          </w:p>
        </w:tc>
        <w:tc>
          <w:tcPr>
            <w:tcW w:type="dxa" w:w="3100"/>
            <w:tcMar>
              <w:top w:type="dxa" w:w="90"/>
              <w:left w:type="dxa" w:w="130"/>
              <w:bottom w:type="dxa" w:w="90"/>
              <w:right w:type="dxa" w:w="130"/>
            </w:tcMar>
          </w:tcPr>
          <w:p>
            <w:r>
              <w:rPr>
                <w:sz w:val="19"/>
                <w:szCs w:val="19"/>
              </w:rPr>
              <w:t xml:space="preserve">50 to 79</w:t>
            </w:r>
          </w:p>
        </w:tc>
      </w:tr>
      <w:tr>
        <w:tc>
          <w:tcPr>
            <w:tcW w:type="dxa" w:w="6260"/>
            <w:tcMar>
              <w:top w:type="dxa" w:w="90"/>
              <w:left w:type="dxa" w:w="130"/>
              <w:bottom w:type="dxa" w:w="90"/>
              <w:right w:type="dxa" w:w="130"/>
            </w:tcMar>
          </w:tcPr>
          <w:p>
            <w:r>
              <w:rPr>
                <w:sz w:val="19"/>
                <w:szCs w:val="19"/>
              </w:rPr>
              <w:t xml:space="preserve">Resume designs available</w:t>
            </w:r>
          </w:p>
        </w:tc>
        <w:tc>
          <w:tcPr>
            <w:tcW w:type="dxa" w:w="3100"/>
            <w:tcMar>
              <w:top w:type="dxa" w:w="90"/>
              <w:left w:type="dxa" w:w="130"/>
              <w:bottom w:type="dxa" w:w="90"/>
              <w:right w:type="dxa" w:w="130"/>
            </w:tcMar>
          </w:tcPr>
          <w:p>
            <w:r>
              <w:rPr>
                <w:sz w:val="19"/>
                <w:szCs w:val="19"/>
              </w:rPr>
              <w:t xml:space="preserve">14</w:t>
            </w:r>
          </w:p>
        </w:tc>
      </w:tr>
      <w:tr>
        <w:tc>
          <w:tcPr>
            <w:tcW w:type="dxa" w:w="6260"/>
            <w:tcMar>
              <w:top w:type="dxa" w:w="90"/>
              <w:left w:type="dxa" w:w="130"/>
              <w:bottom w:type="dxa" w:w="90"/>
              <w:right w:type="dxa" w:w="130"/>
            </w:tcMar>
          </w:tcPr>
          <w:p>
            <w:r>
              <w:rPr>
                <w:sz w:val="19"/>
                <w:szCs w:val="19"/>
              </w:rPr>
              <w:t xml:space="preserve">Steps in the resume builder</w:t>
            </w:r>
          </w:p>
        </w:tc>
        <w:tc>
          <w:tcPr>
            <w:tcW w:type="dxa" w:w="3100"/>
            <w:tcMar>
              <w:top w:type="dxa" w:w="90"/>
              <w:left w:type="dxa" w:w="130"/>
              <w:bottom w:type="dxa" w:w="90"/>
              <w:right w:type="dxa" w:w="130"/>
            </w:tcMar>
          </w:tcPr>
          <w:p>
            <w:r>
              <w:rPr>
                <w:sz w:val="19"/>
                <w:szCs w:val="19"/>
              </w:rPr>
              <w:t xml:space="preserve">7</w:t>
            </w:r>
          </w:p>
        </w:tc>
      </w:tr>
      <w:tr>
        <w:tc>
          <w:tcPr>
            <w:tcW w:type="dxa" w:w="6260"/>
            <w:tcMar>
              <w:top w:type="dxa" w:w="90"/>
              <w:left w:type="dxa" w:w="130"/>
              <w:bottom w:type="dxa" w:w="90"/>
              <w:right w:type="dxa" w:w="130"/>
            </w:tcMar>
          </w:tcPr>
          <w:p>
            <w:r>
              <w:rPr>
                <w:sz w:val="19"/>
                <w:szCs w:val="19"/>
              </w:rPr>
              <w:t xml:space="preserve">Database tables</w:t>
            </w:r>
          </w:p>
        </w:tc>
        <w:tc>
          <w:tcPr>
            <w:tcW w:type="dxa" w:w="3100"/>
            <w:tcMar>
              <w:top w:type="dxa" w:w="90"/>
              <w:left w:type="dxa" w:w="130"/>
              <w:bottom w:type="dxa" w:w="90"/>
              <w:right w:type="dxa" w:w="130"/>
            </w:tcMar>
          </w:tcPr>
          <w:p>
            <w:r>
              <w:rPr>
                <w:sz w:val="19"/>
                <w:szCs w:val="19"/>
              </w:rPr>
              <w:t>22</w:t>
            </w:r>
          </w:p>
        </w:tc>
      </w:tr>
      <w:tr>
        <w:tc>
          <w:tcPr>
            <w:tcW w:type="dxa" w:w="6260"/>
            <w:tcMar>
              <w:top w:type="dxa" w:w="90"/>
              <w:left w:type="dxa" w:w="130"/>
              <w:bottom w:type="dxa" w:w="90"/>
              <w:right w:type="dxa" w:w="130"/>
            </w:tcMar>
          </w:tcPr>
          <w:p>
            <w:r>
              <w:rPr>
                <w:sz w:val="19"/>
                <w:szCs w:val="19"/>
              </w:rPr>
              <w:t xml:space="preserve">Application statuses</w:t>
            </w:r>
          </w:p>
        </w:tc>
        <w:tc>
          <w:tcPr>
            <w:tcW w:type="dxa" w:w="3100"/>
            <w:tcMar>
              <w:top w:type="dxa" w:w="90"/>
              <w:left w:type="dxa" w:w="130"/>
              <w:bottom w:type="dxa" w:w="90"/>
              <w:right w:type="dxa" w:w="130"/>
            </w:tcMar>
          </w:tcPr>
          <w:p>
            <w:r>
              <w:rPr>
                <w:sz w:val="19"/>
                <w:szCs w:val="19"/>
              </w:rPr>
              <w:t xml:space="preserve">6</w:t>
            </w:r>
          </w:p>
        </w:tc>
      </w:tr>
      <w:tr>
        <w:tc>
          <w:tcPr>
            <w:tcW w:type="dxa" w:w="6260"/>
            <w:tcMar>
              <w:top w:type="dxa" w:w="90"/>
              <w:left w:type="dxa" w:w="130"/>
              <w:bottom w:type="dxa" w:w="90"/>
              <w:right w:type="dxa" w:w="130"/>
            </w:tcMar>
          </w:tcPr>
          <w:p>
            <w:r>
              <w:rPr>
                <w:sz w:val="19"/>
                <w:szCs w:val="19"/>
              </w:rPr>
              <w:t xml:space="preserve">Automated tests, all passing</w:t>
            </w:r>
          </w:p>
        </w:tc>
        <w:tc>
          <w:tcPr>
            <w:tcW w:type="dxa" w:w="3100"/>
            <w:tcMar>
              <w:top w:type="dxa" w:w="90"/>
              <w:left w:type="dxa" w:w="130"/>
              <w:bottom w:type="dxa" w:w="90"/>
              <w:right w:type="dxa" w:w="130"/>
            </w:tcMar>
          </w:tcPr>
          <w:p>
            <w:r>
              <w:rPr>
                <w:sz w:val="19"/>
                <w:szCs w:val="19"/>
              </w:rPr>
              <w:t>228</w:t>
            </w:r>
          </w:p>
        </w:tc>
      </w:tr>
      <w:tr>
        <w:tc>
          <w:tcPr>
            <w:tcW w:type="dxa" w:w="6260"/>
            <w:tcMar>
              <w:top w:type="dxa" w:w="90"/>
              <w:left w:type="dxa" w:w="130"/>
              <w:bottom w:type="dxa" w:w="90"/>
              <w:right w:type="dxa" w:w="130"/>
            </w:tcMar>
          </w:tcPr>
          <w:p>
            <w:r>
              <w:rPr>
                <w:sz w:val="19"/>
                <w:szCs w:val="19"/>
              </w:rPr>
              <w:t xml:space="preserve">Education levels on the ladder</w:t>
            </w:r>
          </w:p>
        </w:tc>
        <w:tc>
          <w:tcPr>
            <w:tcW w:type="dxa" w:w="3100"/>
            <w:tcMar>
              <w:top w:type="dxa" w:w="90"/>
              <w:left w:type="dxa" w:w="130"/>
              <w:bottom w:type="dxa" w:w="90"/>
              <w:right w:type="dxa" w:w="130"/>
            </w:tcMar>
          </w:tcPr>
          <w:p>
            <w:r>
              <w:rPr>
                <w:sz w:val="19"/>
                <w:szCs w:val="19"/>
              </w:rPr>
              <w:t xml:space="preserve">6</w:t>
            </w:r>
          </w:p>
        </w:tc>
      </w:tr>
      <w:tr>
        <w:tc>
          <w:tcPr>
            <w:tcW w:type="dxa" w:w="6260"/>
            <w:tcMar>
              <w:top w:type="dxa" w:w="90"/>
              <w:left w:type="dxa" w:w="130"/>
              <w:bottom w:type="dxa" w:w="90"/>
              <w:right w:type="dxa" w:w="130"/>
            </w:tcMar>
          </w:tcPr>
          <w:p>
            <w:r>
              <w:rPr>
                <w:sz w:val="19"/>
                <w:szCs w:val="19"/>
              </w:rPr>
              <w:t xml:space="preserve">Maximum upload size</w:t>
            </w:r>
          </w:p>
        </w:tc>
        <w:tc>
          <w:tcPr>
            <w:tcW w:type="dxa" w:w="3100"/>
            <w:tcMar>
              <w:top w:type="dxa" w:w="90"/>
              <w:left w:type="dxa" w:w="130"/>
              <w:bottom w:type="dxa" w:w="90"/>
              <w:right w:type="dxa" w:w="130"/>
            </w:tcMar>
          </w:tcPr>
          <w:p>
            <w:r>
              <w:rPr>
                <w:sz w:val="19"/>
                <w:szCs w:val="19"/>
              </w:rPr>
              <w:t xml:space="preserve">2 MB</w:t>
            </w:r>
          </w:p>
        </w:tc>
      </w:tr>
      <w:tr>
        <w:tc>
          <w:tcPr>
            <w:tcW w:type="dxa" w:w="6260"/>
            <w:tcMar>
              <w:top w:type="dxa" w:w="90"/>
              <w:left w:type="dxa" w:w="130"/>
              <w:bottom w:type="dxa" w:w="90"/>
              <w:right w:type="dxa" w:w="130"/>
            </w:tcMar>
          </w:tcPr>
          <w:p>
            <w:r>
              <w:rPr>
                <w:sz w:val="19"/>
                <w:szCs w:val="19"/>
              </w:rPr>
              <w:t>Credit for a skill with no source</w:t>
            </w:r>
          </w:p>
        </w:tc>
        <w:tc>
          <w:tcPr>
            <w:tcW w:type="dxa" w:w="3100"/>
            <w:tcMar>
              <w:top w:type="dxa" w:w="90"/>
              <w:left w:type="dxa" w:w="130"/>
              <w:bottom w:type="dxa" w:w="90"/>
              <w:right w:type="dxa" w:w="130"/>
            </w:tcMar>
          </w:tcPr>
          <w:p>
            <w:r>
              <w:rPr>
                <w:sz w:val="19"/>
                <w:szCs w:val="19"/>
              </w:rPr>
              <w:t>half — 0.5</w:t>
            </w:r>
          </w:p>
        </w:tc>
      </w:tr>
      <w:tr>
        <w:tc>
          <w:tcPr>
            <w:tcW w:type="dxa" w:w="6260"/>
            <w:tcMar>
              <w:top w:type="dxa" w:w="90"/>
              <w:left w:type="dxa" w:w="130"/>
              <w:bottom w:type="dxa" w:w="90"/>
              <w:right w:type="dxa" w:w="130"/>
            </w:tcMar>
          </w:tcPr>
          <w:p>
            <w:r>
              <w:rPr>
                <w:sz w:val="19"/>
                <w:szCs w:val="19"/>
              </w:rPr>
              <w:t>Rejection reasons a recruiter can pick from</w:t>
            </w:r>
          </w:p>
        </w:tc>
        <w:tc>
          <w:tcPr>
            <w:tcW w:type="dxa" w:w="3100"/>
            <w:tcMar>
              <w:top w:type="dxa" w:w="90"/>
              <w:left w:type="dxa" w:w="130"/>
              <w:bottom w:type="dxa" w:w="90"/>
              <w:right w:type="dxa" w:w="130"/>
            </w:tcMar>
          </w:tcPr>
          <w:p>
            <w:r>
              <w:rPr>
                <w:sz w:val="19"/>
                <w:szCs w:val="19"/>
              </w:rPr>
              <w:t>8</w:t>
            </w:r>
          </w:p>
        </w:tc>
      </w:tr>
    </w:tbl>
    <w:p>
      <w:pPr>
        <w:pStyle w:val="Heading2"/>
      </w:pPr>
      <w:r>
        <w:t xml:space="preserve">Where to go next</w:t>
      </w:r>
    </w:p>
    <w:p>
      <w:pPr>
        <w:pStyle w:val="ListParagraph"/>
        <w:numPr>
          <w:ilvl w:val="0"/>
          <w:numId w:val="2"/>
        </w:numPr>
        <w:spacing w:after="70"/>
      </w:pPr>
      <w:r>
        <w:rPr>
          <w:b/>
          <w:bCs/>
        </w:rPr>
        <w:t xml:space="preserve">The Website Guide</w:t>
      </w:r>
      <w:r>
        <w:t xml:space="preserve"> — every page and every feature, with more worked examples.</w:t>
      </w:r>
    </w:p>
    <w:p>
      <w:pPr>
        <w:pStyle w:val="ListParagraph"/>
        <w:numPr>
          <w:ilvl w:val="0"/>
          <w:numId w:val="2"/>
        </w:numPr>
        <w:spacing w:after="70"/>
      </w:pPr>
      <w:r>
        <w:rPr>
          <w:b/>
          <w:bCs/>
        </w:rPr>
        <w:t xml:space="preserve">The Codebase Guide</w:t>
      </w:r>
      <w:r>
        <w:t xml:space="preserve"> — how the program is built, for whoever answers technical questions.</w:t>
      </w:r>
    </w:p>
    <w:p>
      <w:pPr>
        <w:pStyle w:val="ListParagraph"/>
        <w:numPr>
          <w:ilvl w:val="0"/>
          <w:numId w:val="2"/>
        </w:numPr>
        <w:spacing w:after="70"/>
      </w:pPr>
      <w:r>
        <w:rPr>
          <w:b/>
          <w:bCs/>
        </w:rPr>
        <w:t xml:space="preserve">The Manuscript Guide</w:t>
      </w:r>
      <w:r>
        <w:t xml:space="preserve"> — the paper chapter by chapter in plain language.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4" w:sz="4" w:space="6"/>
      </w:pBdr>
      <w:jc w:val="right"/>
    </w:pPr>
    <w:r>
      <w:rPr>
        <w:color w:val="3D4A5C"/>
        <w:sz w:val="16"/>
        <w:szCs w:val="16"/>
      </w:rPr>
      <w:t xml:space="preserve">ResumeMatch PH — Start Here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after="140"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Georgia" w:cs="Georgia" w:eastAsia="Georgia" w:hAnsi="Georgia"/>
      <w:b/>
      <w:bCs/>
      <w:color w:val="6B2737"/>
      <w:sz w:val="30"/>
      <w:szCs w:val="30"/>
    </w:rPr>
  </w:style>
  <w:style w:type="paragraph" w:styleId="Heading2">
    <w:name w:val="Heading 2"/>
    <w:basedOn w:val="Normal"/>
    <w:next w:val="Normal"/>
    <w:qFormat/>
    <w:pPr>
      <w:spacing w:after="120" w:before="280"/>
    </w:pPr>
    <w:rPr>
      <w:rFonts w:ascii="Georgia" w:cs="Georgia" w:eastAsia="Georgia" w:hAnsi="Georgia"/>
      <w:b/>
      <w:bCs/>
      <w:color w:val="3D4A5C"/>
      <w:sz w:val="25"/>
      <w:szCs w:val="25"/>
    </w:rPr>
  </w:style>
  <w:style w:type="paragraph" w:styleId="Heading3">
    <w:name w:val="Heading 3"/>
    <w:basedOn w:val="Normal"/>
    <w:next w:val="Normal"/>
    <w:qFormat/>
    <w:pPr>
      <w:spacing w:after="100" w:before="220"/>
    </w:pPr>
    <w:rPr>
      <w:rFonts w:ascii="Georgia" w:cs="Georgia" w:eastAsia="Georgia" w:hAnsi="Georgia"/>
      <w:b/>
      <w:bCs/>
      <w:color w:val="3D4A5C"/>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2026-08-13T07:54:31.529Z</dcterms:created>
  <dcterms:modified xsi:type="dcterms:W3CDTF">2026-08-13T07:54:31.661Z</dcterms:modified>
</cp:coreProperties>
</file>

<file path=docProps/custom.xml><?xml version="1.0" encoding="utf-8"?>
<Properties xmlns="http://schemas.openxmlformats.org/officeDocument/2006/custom-properties" xmlns:vt="http://schemas.openxmlformats.org/officeDocument/2006/docPropsVTypes"/>
</file>