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Linaw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START HERE IF THIS IS NEW TO YOU</w:t>
      </w:r>
    </w:p>
    <w:p>
      <w:pPr>
        <w:spacing w:after="110" w:before="0" w:line="285"/>
      </w:pPr>
      <w:r>
        <w:rPr>
          <w:rFonts w:ascii="Arial" w:cs="Arial" w:eastAsia="Arial" w:hAnsi="Arial"/>
          <w:b w:val="false"/>
          <w:bCs w:val="false"/>
          <w:i w:val="false"/>
          <w:iCs w:val="false"/>
          <w:color w:val="1A1A1A"/>
          <w:sz w:val="19"/>
          <w:szCs w:val="19"/>
        </w:rPr>
        <w:t>Do not start with this document. Read Linaw-PH-Reviewer.docx first — it covers the same material in the simplest words we could write, and has thirty practice questions to warm up on. Linaw-PH-Explained-Simply.docx has a word list for anything that still does not make sense.</w:t>
      </w:r>
    </w:p>
    <w:p>
      <w:pPr>
        <w:spacing w:after="110" w:before="0" w:line="285"/>
      </w:pPr>
      <w:r>
        <w:rPr>
          <w:rFonts w:ascii="Arial" w:cs="Arial" w:eastAsia="Arial" w:hAnsi="Arial"/>
          <w:b w:val="false"/>
          <w:bCs w:val="false"/>
          <w:i w:val="false"/>
          <w:iCs w:val="false"/>
          <w:color w:val="1A1A1A"/>
          <w:sz w:val="19"/>
          <w:szCs w:val="19"/>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10" w:before="0" w:line="285"/>
      </w:pPr>
      <w:r>
        <w:rPr>
          <w:rFonts w:ascii="Arial" w:cs="Arial" w:eastAsia="Arial" w:hAnsi="Arial"/>
          <w:b w:val="false"/>
          <w:bCs w:val="false"/>
          <w:i w:val="false"/>
          <w:iCs w:val="false"/>
          <w:color w:val="1A1A1A"/>
          <w:sz w:val="19"/>
          <w:szCs w:val="19"/>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Part 1 is the study itself: the whole paper section by section, with the numbers, sources and commitments each one contains. Parts 2 to 8 carry 125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Q89 – Q112e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New job seekers  a free guided builder, and the same score the recruiter sees, with what they have not met stated by number and kind.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 xml:space="preserve">Vocabulary coverage  </w:t>
      </w:r>
      <w:r>
        <w:rPr>
          <w:rFonts w:ascii="Arial" w:cs="Arial" w:eastAsia="Arial" w:hAnsi="Arial"/>
          <w:color w:val="333333"/>
          <w:sz w:val="17"/>
          <w:szCs w:val="17"/>
        </w:rPr>
        <w:t xml:space="preserve">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xml:space="preserve">· The line that governs the chapter  </w:t>
      </w:r>
      <w:r>
        <w:rPr>
          <w:rFonts w:ascii="Arial" w:cs="Arial" w:eastAsia="Arial" w:hAnsi="Arial"/>
          <w:color w:val="333333"/>
          <w:sz w:val="17"/>
          <w:szCs w:val="17"/>
        </w:rPr>
        <w:t xml:space="preserve">Agile governs how the system is built; instruments, respondents, items and themes govern how the study investigates.</w:t>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 xml:space="preserve">The trap  </w:t>
      </w:r>
      <w:r>
        <w:rPr>
          <w:rFonts w:ascii="Arial" w:cs="Arial" w:eastAsia="Arial" w:hAnsi="Arial"/>
          <w:color w:val="333333"/>
          <w:sz w:val="17"/>
          <w:szCs w:val="17"/>
        </w:rPr>
        <w:t xml:space="preserve">being pushed into calling Agile your research design. Blur the two and the panel concludes you have no design at all.</w:t>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 xml:space="preserve">Agile over Waterfall, and the technical choices as decisions rather than defaults.</w:t>
      </w:r>
    </w:p>
    <w:p>
      <w:pPr>
        <w:spacing w:after="52" w:line="280"/>
        <w:ind w:left="300" w:hanging="300"/>
      </w:pPr>
      <w:r>
        <w:rPr>
          <w:rFonts w:ascii="Arial" w:cs="Arial" w:eastAsia="Arial" w:hAnsi="Arial"/>
          <w:b/>
          <w:bCs/>
          <w:color w:val="1A1A1A"/>
          <w:sz w:val="17"/>
          <w:szCs w:val="17"/>
        </w:rPr>
        <w:t xml:space="preserve">· Why Agile  </w:t>
      </w:r>
      <w:r>
        <w:rPr>
          <w:rFonts w:ascii="Arial" w:cs="Arial" w:eastAsia="Arial" w:hAnsi="Arial"/>
          <w:color w:val="333333"/>
          <w:sz w:val="17"/>
          <w:szCs w:val="17"/>
        </w:rPr>
        <w:t xml:space="preserve">two user groups pulling in different directions, and matching behaviour that had to be tuned against test resumes rather than specified up front — which is why the weights are configuration.</w:t>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Three levels  automated regression across eleven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Fifty-five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five formerly untraceable entries now REMOVED from the paper entirely · one replaced and the replacement verified · one still unconfirmed.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one still open  </w:t>
      </w:r>
      <w:r>
        <w:rPr>
          <w:rFonts w:ascii="Arial" w:cs="Arial" w:eastAsia="Arial" w:hAnsi="Arial"/>
          <w:color w:val="333333"/>
          <w:sz w:val="17"/>
          <w:szCs w:val="17"/>
        </w:rPr>
        <w:t xml:space="preserve">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pBdr>
          <w:left w:val="single" w:color="8A6A1F" w:sz="10" w:space="6"/>
        </w:pBdr>
        <w:spacing w:after="52" w:line="280"/>
        <w:ind w:left="300" w:hanging="300"/>
      </w:pPr>
      <w:r>
        <w:rPr>
          <w:rFonts w:ascii="Arial" w:cs="Arial" w:eastAsia="Arial" w:hAnsi="Arial"/>
          <w:b/>
          <w:bCs/>
          <w:color w:val="7A5B1E"/>
          <w:sz w:val="17"/>
          <w:szCs w:val="17"/>
        </w:rPr>
        <w:t xml:space="preserve">Verified this run  </w:t>
      </w:r>
      <w:r>
        <w:rPr>
          <w:rFonts w:ascii="Arial" w:cs="Arial" w:eastAsia="Arial" w:hAnsi="Arial"/>
          <w:color w:val="333333"/>
          <w:sz w:val="17"/>
          <w:szCs w:val="17"/>
        </w:rPr>
        <w:t xml:space="preserve">Dascălu et al. (2023) is real at exactly the venue your entry gives — Issues in Information Systems 24(3), 71–82. It replaced an entry that named the wrong journal.</w:t>
      </w:r>
    </w:p>
    <w:p>
      <w:pPr>
        <w:pBdr>
          <w:left w:val="single" w:color="8A6A1F" w:sz="10" w:space="6"/>
        </w:pBdr>
        <w:spacing w:after="52" w:line="280"/>
        <w:ind w:left="300" w:hanging="300"/>
      </w:pPr>
      <w:r>
        <w:rPr>
          <w:rFonts w:ascii="Arial" w:cs="Arial" w:eastAsia="Arial" w:hAnsi="Arial"/>
          <w:b/>
          <w:bCs/>
          <w:color w:val="7A5B1E"/>
          <w:sz w:val="17"/>
          <w:szCs w:val="17"/>
        </w:rPr>
        <w:t xml:space="preserve">Removed, not outstanding  </w:t>
      </w:r>
      <w:r>
        <w:rPr>
          <w:rFonts w:ascii="Arial" w:cs="Arial" w:eastAsia="Arial" w:hAnsi="Arial"/>
          <w:color w:val="333333"/>
          <w:sz w:val="17"/>
          <w:szCs w:val="17"/>
        </w:rPr>
        <w:t xml:space="preserve">the five entries the audit could not trace — Miller &amp; Zhang, Stevenson et al., Kumar et al., Nielsen Norman Group, Albert et al. — are gone from the manuscript: no entry, no in-text citation. Do not walk in ready to concede a problem you already fixed.</w:t>
      </w:r>
    </w:p>
    <w:p>
      <w:pPr>
        <w:pBdr>
          <w:left w:val="single" w:color="8A6A1F" w:sz="10" w:space="6"/>
        </w:pBdr>
        <w:spacing w:after="52" w:line="280"/>
        <w:ind w:left="300" w:hanging="300"/>
      </w:pPr>
      <w:r>
        <w:rPr>
          <w:rFonts w:ascii="Arial" w:cs="Arial" w:eastAsia="Arial" w:hAnsi="Arial"/>
          <w:b/>
          <w:bCs/>
          <w:color w:val="7A5B1E"/>
          <w:sz w:val="17"/>
          <w:szCs w:val="17"/>
        </w:rPr>
        <w:t xml:space="preserve">A number that was not in its source  </w:t>
      </w:r>
      <w:r>
        <w:rPr>
          <w:rFonts w:ascii="Arial" w:cs="Arial" w:eastAsia="Arial" w:hAnsi="Arial"/>
          <w:color w:val="333333"/>
          <w:sz w:val="17"/>
          <w:szCs w:val="17"/>
        </w:rPr>
        <w:t xml:space="preserve">“40% more viewing time” was credited to TheLadders (2018), which does not report it. Removed. The 7.4 seconds in the same sentence IS correct and is confirmed.</w:t>
      </w:r>
    </w:p>
    <w:p>
      <w:pPr>
        <w:pBdr>
          <w:left w:val="single" w:color="8A6A1F" w:sz="10" w:space="6"/>
        </w:pBdr>
        <w:spacing w:after="52" w:line="280"/>
        <w:ind w:left="300" w:hanging="300"/>
      </w:pPr>
      <w:r>
        <w:rPr>
          <w:rFonts w:ascii="Arial" w:cs="Arial" w:eastAsia="Arial" w:hAnsi="Arial"/>
          <w:b/>
          <w:bCs/>
          <w:color w:val="7A5B1E"/>
          <w:sz w:val="17"/>
          <w:szCs w:val="17"/>
        </w:rPr>
        <w:t xml:space="preserve">What “verified” means here  </w:t>
      </w:r>
      <w:r>
        <w:rPr>
          <w:rFonts w:ascii="Arial" w:cs="Arial" w:eastAsia="Arial" w:hAnsi="Arial"/>
          <w:color w:val="333333"/>
          <w:sz w:val="17"/>
          <w:szCs w:val="17"/>
        </w:rPr>
        <w:t xml:space="preserve">that the work exists at the venue, volume and pages given. NOT that anyone has read it. Those are different claims and only the second one holds up when a panelist has read the paper.</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“We started from a problem all three of us are about to have. We graduate into this job market.</w:t>
        <w:br/>
        <w:br/>
        <w:t>What made us commit was realising it has TWO sides.</w:t>
        <w:br/>
        <w:br/>
        <w:t>Applicants cannot get read. And local HR departments cannot afford the screening tools that would find them.</w:t>
        <w:br/>
        <w:br/>
        <w:t>We also had a partner HR department willing to work with us. So we could build for a real recruiter instead of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“The fourth Philippine Graduate Tracer Study — Tutor, Orbeta and Miraflor, published by PIDS in 2021.</w:t>
        <w:br/>
        <w:br/>
        <w:t>They surveyed 11,547 graduates, from academic years 2008–09 through 2010–11.</w:t>
        <w:br/>
        <w:br/>
        <w:t>The finding we use: among graduates of programmes requiring a professional licence, only 49 percent were employed in work matching their degree.</w:t>
        <w:br/>
        <w:br/>
        <w:t>I will be straight about the weakness. Those are older cohorts. So we present it as the most recent NATIONAL tracer study, not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“They were removed.</w:t>
        <w:br/>
        <w:br/>
        <w:t>Four figures in our Requirement Documentation had no source. Our requirement analysis was a desk exercise that surveyed nobody — so no method anywhere in our paper could have produced those numbers.</w:t>
        <w:br/>
        <w:br/>
        <w:t>We could have gone looking for a source that happened to agree. We deleted the claims instead.</w:t>
        <w:br/>
        <w:br/>
        <w:t>The points they were making are still made. They are made with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in order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“They are solving a harder problem than we are, and they solve it better. I will say that plainly.</w:t>
        <w:br/>
        <w:br/>
        <w:t>A semantic model can work out that “client account support” and “customer service” are close, without anyone writing that down. Ours cannot. Ours knows only the synonyms we listed.</w:t>
        <w:br/>
        <w:br/>
        <w:t>So on pure matching accuracy, we lose.</w:t>
        <w:br/>
        <w:br/>
        <w:t>Here is what we get in exchange. Every score can be taken apart. We can point to the three components, the weights, and — for the recruiter — the exact required skills that were not found. The applicant is told how many and of what kind, which is enough to act on and not enough to copy.</w:t>
        <w:br/>
        <w:br/>
        <w:t>A similarity model hands over a number that NEITHER side can question. Our whole claim is about the number being questionable.</w:t>
        <w:br/>
        <w:br/>
        <w:t>We are trading accuracy for explainability, on purpose. I would rather say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“TAM asks whether people will ADOPT a system.</w:t>
        <w:br/>
        <w:br/>
        <w:t>That is not our question. Ours asks how people experience being ASSESSED by one, and what an explanation does to that experience.</w:t>
        <w:br/>
        <w:br/>
        <w:t>Gilliland’s model is about exactly that, and it is the theory the fairness literature we cite is built on.</w:t>
        <w:br/>
        <w:br/>
        <w:t>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“Four ways, and each one answers a specific procedural rule of his.</w:t>
        <w:br/>
        <w:br/>
        <w:t>CONSISTENCY — the score is a deterministic rule. The same resume and the same posting always give the same result.</w:t>
        <w:br/>
        <w:br/>
        <w:t>JOB RELATEDNESS — the score is computed only from criteria the recruiter stated in the posting. Nothing else enters it.</w:t>
        <w:br/>
        <w:br/>
        <w:t>EXPLANATION — we publish the weights, and we show the applicant the same number the recruiter sees. What they have not met is stated by number and kind.</w:t>
        <w:br/>
        <w:br/>
        <w:t>CAPACITY TO RESPOND — every application stays visible to a human recruiter, and nobody is ever rejected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“New job seekers face two problems, not one. They cannot produce a well-formed resume. And they cannot see how their application is judged.</w:t>
        <w:br/>
        <w:br/>
        <w:t>Our claim is that addressing both together does something that addressing either one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“Two problems: unstructured input, and opaque assessment.</w:t>
        <w:br/>
        <w:br/>
        <w:t>UNSTRUCTURED INPUT means a resume written without guidance, laid out in a way automated screening reads badly. The qualifications the applicant really holds never reach the recruiter intact.</w:t>
        <w:br/>
        <w:br/>
        <w:t>OPAQUE ASSESSMENT means screening that gives an outcome with no reason. The applicant learns neither why they failed nor what would change it.</w:t>
        <w:br/>
        <w:br/>
        <w:t>Our two answers line up with those two problems. Structured input makes the applicant’s content readable — by software and by the recruiter. An explained score makes the assessment readable by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“The framework is the proposition and the relationships I just described. They are stated in the TEXT, before the figure ever appears.</w:t>
        <w:br/>
        <w:br/>
        <w:t>Figure 1 then shows how those relationships are put into practice: what the system takes in, how it is built and computes, and what it produces for each group.</w:t>
        <w:br/>
        <w:br/>
        <w:t>And I accept the premise behind the question. A diagram on its own would not be a conceptual framework. That is exactly why the concepts are written out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“Most frameworks in our review run in ONE direction. A resume goes in, a ranking comes out, and the diagram stops at the recruiter.</w:t>
        <w:br/>
        <w:br/>
        <w:t>Ours has a second arrow. It goes back to the applicant, carrying the same score, the weights that produced it, and how much of the requirement was unmet.</w:t>
        <w:br/>
        <w:br/>
        <w:t>That is the only structural difference. It is also the whole study.</w:t>
        <w:br/>
        <w:br/>
        <w:t>It is why our research questions ask how applicants describe being SCORED, and not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“Six, in three pairs.</w:t>
        <w:br/>
        <w:br/>
        <w:t>The first three are about life BEFORE our system. How job seekers describe creating a resume. How they decide whether they qualify for an opening. How HR personnel describe screening, and what they weigh for entry-level roles.</w:t>
        <w:br/>
        <w:br/>
        <w:t>Four and five are about USING the system — how each group rates it on functional suitability, usability and reliability.</w:t>
        <w:br/>
        <w:br/>
        <w:t>The sixth is the one that tests the matching itself. It asks HR personnel how closely the system’s ranking matched the order they would have reached on their own.”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“Because for five of the six, we are describing how a defined group RATES something. We are not measuring an improvement against a baseline.</w:t>
        <w:br/>
        <w:br/>
        <w:t>“Does it improve” would promise a controlled comparison, and our design cannot deliver one.</w:t>
        <w:br/>
        <w:br/>
        <w:t>Let me be precise about the exception, because there is one. Four items ARE asked before and after the same respondent uses the system. That block does measure a change within one group.</w:t>
        <w:br/>
        <w:br/>
        <w:t>It is a one-group pretest-posttest — pre-experimental, in Campbell and Stanley’s terms. No control group, no random assignment.</w:t>
        <w:br/>
        <w:br/>
        <w:t>So it tells us the answers moved. It does not tell us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“There is one, and it belongs to one part of the study only.</w:t>
        <w:br/>
        <w:br/>
        <w:t>The four before-and-after items are tested with the Wilcoxon signed-rank test. Its null hypothesis is that the differences are symmetric about zero — in plain words, that no systematic change happened.</w:t>
        <w:br/>
        <w:br/>
        <w:t>We apply it TWO-SIDED, because we do not predict the direction in advance.</w:t>
        <w:br/>
        <w:br/>
        <w:t>Everything else in the study is descriptive and carries no hypothesis at all. We report how this group rated these statements. We make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“Four are essential: the resume builder, the matching feature, account and data protection, and the evaluation. Without those there is no system and no study.</w:t>
        <w:br/>
        <w:br/>
        <w:t>The rest — the learning materials, the three account types as separate objectives, accessibility, the recommendation behaviour — are all built and working. But they elaborate the core. They do not constitute it.</w:t>
        <w:br/>
        <w:br/>
        <w:t>If we had been forced to cut, we would have cut the number of designs long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“There is no ISO questionnaire. The standard lists quality characteristics. It publishes no survey.</w:t>
        <w:br/>
        <w:br/>
        <w:t>What it gives us is the frame — it decides what our evaluation asks about.</w:t>
        <w:br/>
        <w:br/>
        <w:t>Every rated item in the two after-use instruments is written against one of three characteristics and labelled with it in Appendix A. So when we report a mean for functional suitability, a reader can check for themselves which items it came from.</w:t>
        <w:br/>
        <w:br/>
        <w:t>What we cannot claim is that our numbers compare with anybody else’s. The questionnaire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“Five groups.</w:t>
        <w:br/>
        <w:br/>
        <w:t>NEW JOB SEEKERS — a free guided builder, and an explanation of how they are being assessed.</w:t>
        <w:br/>
        <w:br/>
        <w:t>HR PERSONNEL — structured, ranked applications, plus a record of how each one was handled.</w:t>
        <w:br/>
        <w:br/>
        <w:t>CLARK OUTSOURCING — a system fitted to an organisation that hires across several very different departments.</w:t>
        <w:br/>
        <w:br/>
        <w:t>THE SCHOOL OF COMPUTING — a documented system, and the reasoning behind every decision in it.</w:t>
        <w:br/>
        <w:br/>
        <w:t>FUTURE RESEARCHERS — a stated baseline. The weights, the thresholds, and the cases where we ourselves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“No, and our paper says so in three separate places.</w:t>
        <w:br/>
        <w:br/>
        <w:t>We evaluate the QUALITY of the system. We do not evaluate employment outcomes.</w:t>
        <w:br/>
        <w:br/>
        <w:t>To measure whether anyone was hired because of it, we would have to follow applicants for months past the end of our study. We have no such data, and we never will within this timeframe.</w:t>
        <w:br/>
        <w:br/>
        <w:t>What we do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“Fourteen. All single-column. None of them contain tables, text boxes, multiple columns or graphics — because those are the four things that break automated reading.</w:t>
        <w:br/>
        <w:br/>
        <w:t>Separately from the designs there are three CONTENT FORMATS: chronological, functional and combination. Those decide the ORDER the sections appear in.</w:t>
        <w:br/>
        <w:br/>
        <w:t>So the format decides the order, and the design decides the appearance.</w:t>
        <w:br/>
        <w:br/>
        <w:t>And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“Because a scraped posting has no verified requirements behind it, and no recruiter accountable for it.</w:t>
        <w:br/>
        <w:br/>
        <w:t>Our matching needs two things from a real recruiter. It needs them to STATE the required skills, the education level and the minimum experience. And it needs that same person to READ the ranked list afterwards.</w:t>
        <w:br/>
        <w:br/>
        <w:t>A JobStreet listing gives us neither one.</w:t>
        <w:br/>
        <w:br/>
        <w:t>It also keeps our study inside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“Gemini does exactly one thing. It turns an uploaded document into fields.</w:t>
        <w:br/>
        <w:br/>
        <w:t>It never computes, weights, ranks or recommends. Not once.</w:t>
        <w:br/>
        <w:br/>
        <w:t>Every score in the system — including the score of an uploaded file — comes from the same rule-based formula we published.</w:t>
        <w:br/>
        <w:br/>
        <w:t>And that separation is not just a promise. It is enforced in code and it is tested. One of our extraction tests asserts that no score is EVER returned from that route, because extraction and scoring are two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Q31  You tell applicants how they fell short,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“They are job boards. We are not one — and I would rather be exact about the difference than claim we beat them.</w:t>
        <w:br/>
        <w:br/>
        <w:t>They carry thousands of live openings nationwide. We carry the postings of partner companies we have agreements with, which right now is one BPO.</w:t>
        <w:br/>
        <w:br/>
        <w:t>On reach, they win completely. I will not argue that.</w:t>
        <w:br/>
        <w:br/>
        <w:t>The difference is what happens AFTER the apply button.</w:t>
        <w:br/>
        <w:br/>
        <w:t>On a job board, the applicant sends the document and gets silence. Any percentage shown to them is not the employer’s screening result.</w:t>
        <w:br/>
        <w:br/>
        <w:t>In ours, the applicant sees the same score the recruiter sees, on the same posting. They are told how much of the requirement they meet, and how much they do not.</w:t>
        <w:br/>
        <w:br/>
        <w:t>We are not competing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“It is our own term, and we define it in the paper rather than leave it to be guessed at.</w:t>
        <w:br/>
        <w:br/>
        <w:t>It means a system that takes the structured screening and ranking behaviour of an applicant tracking system, and deliberately LEAVES OUT the automatic rejection.</w:t>
        <w:br/>
        <w:br/>
        <w:t>We produce a ranked list and an explanation of every score. No applicant is ever filtered out by the software.</w:t>
        <w:br/>
        <w:br/>
        <w:t>Calling it an ATS outright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“It is the label the system puts on a score, so a recruiter can read a long ranked list quickly.</w:t>
        <w:br/>
        <w:br/>
        <w:t>Strong — eighty and above. Possible — fifty to seventy-nine. Related — below fifty.</w:t>
        <w:br/>
        <w:br/>
        <w:t>We set those cut-offs ourselves. They are conventional, chosen so the three tiers describe genuinely different situations.</w:t>
        <w:br/>
        <w:br/>
        <w:t>And they are stored as configuration values, not written into the code. So they can be changed without rebuilding anything.”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2.0  The two methodologies, in plain words</w:t>
      </w:r>
    </w:p>
    <w:p>
      <w:pPr>
        <w:spacing w:after="110" w:before="0" w:line="285"/>
      </w:pPr>
      <w:r>
        <w:rPr>
          <w:rFonts w:ascii="Arial" w:cs="Arial" w:eastAsia="Arial" w:hAnsi="Arial"/>
          <w:b w:val="false"/>
          <w:bCs w:val="false"/>
          <w:i w:val="false"/>
          <w:iCs w:val="false"/>
          <w:color w:val="1A1A1A"/>
          <w:sz w:val="19"/>
          <w:szCs w:val="19"/>
        </w:rPr>
        <w:t>Read this before the questions below. It is the one thing groups get wrong most often, and it is the cheapest mark in the whole defense to lose.</w:t>
      </w:r>
    </w:p>
    <w:p>
      <w:pPr>
        <w:spacing w:after="24" w:before="260"/>
      </w:pPr>
      <w:r>
        <w:rPr>
          <w:rFonts w:ascii="Arial" w:cs="Arial" w:eastAsia="Arial" w:hAnsi="Arial"/>
          <w:b/>
          <w:bCs/>
          <w:color w:val="2A4D6E"/>
          <w:sz w:val="14"/>
          <w:szCs w:val="14"/>
        </w:rPr>
        <w:t>THE WHOLE IDEA IN FOUR LINES</w:t>
      </w:r>
    </w:p>
    <w:p>
      <w:pPr>
        <w:pBdr>
          <w:left w:val="single" w:color="2F5D3A" w:sz="14" w:space="8"/>
        </w:pBdr>
        <w:spacing w:after="110" w:line="292"/>
        <w:ind w:left="480" w:right="140"/>
      </w:pPr>
      <w:r>
        <w:rPr>
          <w:rFonts w:ascii="Arial" w:cs="Arial" w:eastAsia="Arial" w:hAnsi="Arial"/>
          <w:color w:val="1F3D2B"/>
          <w:sz w:val="18"/>
          <w:szCs w:val="18"/>
        </w:rPr>
        <w:t>You have TWO methodologies. They are not rivals and they do not overlap.</w:t>
        <w:br/>
        <w:br/>
        <w:t>·  Agile  —  how you BUILT THE APP.</w:t>
        <w:br/>
        <w:t>·  Quantitative descriptive  —  how you DID THE STUDY.</w:t>
        <w:br/>
        <w:br/>
        <w:t>One is for the software. One is for the research. A panelist who asks you to pick one has asked a question with no answer, and saying so calmly is the correct response.</w:t>
      </w:r>
    </w:p>
    <w:p>
      <w:pPr>
        <w:spacing w:after="110" w:line="285"/>
        <w:ind w:left="480"/>
      </w:pPr>
      <w:r>
        <w:rPr>
          <w:rFonts w:ascii="Arial" w:cs="Arial" w:eastAsia="Arial" w:hAnsi="Arial"/>
          <w:b/>
          <w:bCs/>
          <w:color w:val="8C2A2A"/>
          <w:sz w:val="16"/>
          <w:szCs w:val="16"/>
        </w:rPr>
        <w:t>Follow-up trap — “So which is it, Agile or descriptive?” Answer: “Both, for different things. Agile governs how the system was built. The descriptive design governs how the study investigates. Our Method states that distinction explicitly, and the rule we use is that where the paper says phases, sprints or iterations it is describing construction, and where it says instruments, respondents, items or means it is describing research.”</w:t>
      </w:r>
    </w:p>
    <w:p>
      <w:pPr>
        <w:spacing w:after="24" w:before="260"/>
      </w:pPr>
      <w:r>
        <w:rPr>
          <w:rFonts w:ascii="Arial" w:cs="Arial" w:eastAsia="Arial" w:hAnsi="Arial"/>
          <w:b/>
          <w:bCs/>
          <w:color w:val="2A4D6E"/>
          <w:sz w:val="14"/>
          <w:szCs w:val="14"/>
        </w:rPr>
        <w:t>WHY AGILE, FOR BUILDING</w:t>
      </w:r>
    </w:p>
    <w:p>
      <w:pPr>
        <w:spacing w:after="110" w:before="0" w:line="285"/>
      </w:pPr>
      <w:r>
        <w:rPr>
          <w:rFonts w:ascii="Arial" w:cs="Arial" w:eastAsia="Arial" w:hAnsi="Arial"/>
          <w:b w:val="false"/>
          <w:bCs w:val="false"/>
          <w:i w:val="false"/>
          <w:iCs w:val="false"/>
          <w:color w:val="1A1A1A"/>
          <w:sz w:val="19"/>
          <w:szCs w:val="19"/>
        </w:rPr>
        <w:t>Agile means: build a piece, test it, fix it, build the next piece. The opposite model, Waterfall, means: plan the whole thing perfectly, build it all, then test at the very end.</w:t>
      </w:r>
    </w:p>
    <w:p>
      <w:pPr>
        <w:spacing w:after="110" w:before="0" w:line="285"/>
      </w:pPr>
      <w:r>
        <w:rPr>
          <w:rFonts w:ascii="Arial" w:cs="Arial" w:eastAsia="Arial" w:hAnsi="Arial"/>
          <w:b w:val="false"/>
          <w:bCs w:val="false"/>
          <w:i w:val="false"/>
          <w:iCs w:val="false"/>
          <w:color w:val="1A1A1A"/>
          <w:sz w:val="19"/>
          <w:szCs w:val="19"/>
        </w:rPr>
        <w:t>You chose Agile for one honest reason. You did not know the right answers when you started.</w:t>
      </w:r>
    </w:p>
    <w:p>
      <w:pPr>
        <w:spacing w:after="110" w:before="0" w:line="285"/>
      </w:pPr>
      <w:r>
        <w:rPr>
          <w:rFonts w:ascii="Arial" w:cs="Arial" w:eastAsia="Arial" w:hAnsi="Arial"/>
          <w:b w:val="false"/>
          <w:bCs w:val="false"/>
          <w:i w:val="false"/>
          <w:iCs w:val="false"/>
          <w:color w:val="1A1A1A"/>
          <w:sz w:val="19"/>
          <w:szCs w:val="19"/>
        </w:rPr>
        <w:t>The proof is your own history, and it is much better evidence than any textbook sentence. You planned MySQL and switched to PostgreSQL during design. You built a screen that showed applicants the NAMES of the skills they were missing, then realised a person could simply copy those words into their resume and claim them, so you changed it to show a count and a kind instead. Waterfall would have required both of those decisions to be locked before you knew either was wrong.</w:t>
      </w:r>
    </w:p>
    <w:p>
      <w:pPr>
        <w:pBdr>
          <w:left w:val="single" w:color="2F5D3A" w:sz="14" w:space="8"/>
        </w:pBdr>
        <w:spacing w:after="110" w:line="292"/>
        <w:ind w:left="480" w:right="140"/>
      </w:pPr>
      <w:r>
        <w:rPr>
          <w:rFonts w:ascii="Arial" w:cs="Arial" w:eastAsia="Arial" w:hAnsi="Arial"/>
          <w:color w:val="1F3D2B"/>
          <w:sz w:val="18"/>
          <w:szCs w:val="18"/>
        </w:rPr>
        <w:t>“We chose Agile because our requirements changed as we tested, and we knew they would.</w:t>
        <w:br/>
        <w:br/>
        <w:t>We serve two user groups whose needs pull the design in different directions, and the behaviour of the matching feature was always going to need tuning against real test data.</w:t>
        <w:br/>
        <w:br/>
        <w:t>Two things actually changed mid-project. We planned MySQL and adopted PostgreSQL. And we removed a feature that named the applicant’s missing skills, because testing made it obvious that naming them was an instruction on what to claim.</w:t>
        <w:br/>
        <w:br/>
        <w:t>Agile is the model that permits that. Waterfall would have required us to be right on the first attempt.”</w:t>
      </w:r>
    </w:p>
    <w:p>
      <w:pPr>
        <w:spacing w:after="110" w:before="0" w:line="285"/>
      </w:pPr>
      <w:r>
        <w:rPr>
          <w:rFonts w:ascii="Arial" w:cs="Arial" w:eastAsia="Arial" w:hAnsi="Arial"/>
          <w:b w:val="false"/>
          <w:bCs w:val="false"/>
          <w:i w:val="false"/>
          <w:iCs w:val="false"/>
          <w:color w:val="1A1A1A"/>
          <w:sz w:val="19"/>
          <w:szCs w:val="19"/>
        </w:rPr>
        <w:t>There is one more piece of evidence worth knowing, because it is Agile thinking made physical. The scoring weights and the tier thresholds are stored in the database, not written into the program. So changing the balance between skills, education and experience is a change of SETTING, not a rebuild. The design anticipated its own revision.</w:t>
      </w:r>
    </w:p>
    <w:p>
      <w:pPr>
        <w:spacing w:after="24" w:before="260"/>
      </w:pPr>
      <w:r>
        <w:rPr>
          <w:rFonts w:ascii="Arial" w:cs="Arial" w:eastAsia="Arial" w:hAnsi="Arial"/>
          <w:b/>
          <w:bCs/>
          <w:color w:val="2A4D6E"/>
          <w:sz w:val="14"/>
          <w:szCs w:val="14"/>
        </w:rPr>
        <w:t>WHY QUANTITATIVE DESCRIPTIVE, FOR THE RESEARCH</w:t>
      </w:r>
    </w:p>
    <w:p>
      <w:pPr>
        <w:spacing w:after="110" w:before="0" w:line="285"/>
      </w:pPr>
      <w:r>
        <w:rPr>
          <w:rFonts w:ascii="Arial" w:cs="Arial" w:eastAsia="Arial" w:hAnsi="Arial"/>
          <w:b w:val="false"/>
          <w:bCs w:val="false"/>
          <w:i w:val="false"/>
          <w:iCs w:val="false"/>
          <w:color w:val="1A1A1A"/>
          <w:sz w:val="19"/>
          <w:szCs w:val="19"/>
        </w:rPr>
        <w:t>Quantitative means you count things and average them. Descriptive means you describe what you find — you do not claim one thing CAUSED another.</w:t>
      </w:r>
    </w:p>
    <w:p>
      <w:pPr>
        <w:spacing w:after="110" w:before="0" w:line="285"/>
      </w:pPr>
      <w:r>
        <w:rPr>
          <w:rFonts w:ascii="Arial" w:cs="Arial" w:eastAsia="Arial" w:hAnsi="Arial"/>
          <w:b w:val="false"/>
          <w:bCs w:val="false"/>
          <w:i w:val="false"/>
          <w:iCs w:val="false"/>
          <w:color w:val="1A1A1A"/>
          <w:sz w:val="19"/>
          <w:szCs w:val="19"/>
        </w:rPr>
        <w:t>You chose it because of the shape of the questions you actually ask. How MANY new job seekers find each part of resume writing difficult. How recruiters spread importance across skills, education and experience. How BOTH groups rate the system after using it. Not one of those needs an interview or a story. Every one of them needs numbers from closed questions.</w:t>
      </w:r>
    </w:p>
    <w:p>
      <w:pPr>
        <w:pBdr>
          <w:left w:val="single" w:color="2F5D3A" w:sz="14" w:space="8"/>
        </w:pBdr>
        <w:spacing w:after="110" w:line="292"/>
        <w:ind w:left="480" w:right="140"/>
      </w:pPr>
      <w:r>
        <w:rPr>
          <w:rFonts w:ascii="Arial" w:cs="Arial" w:eastAsia="Arial" w:hAnsi="Arial"/>
          <w:color w:val="1F3D2B"/>
          <w:sz w:val="18"/>
          <w:szCs w:val="18"/>
        </w:rPr>
        <w:t>“Because of what our questions ask.</w:t>
        <w:br/>
        <w:br/>
        <w:t>We ask how many job seekers find a part of resume writing difficult, how recruiters spread importance across three components, and how both groups rate the system once they have used it.</w:t>
        <w:br/>
        <w:br/>
        <w:t>Those are answered by counting and averaging closed responses, not by interpreting written accounts.</w:t>
        <w:br/>
        <w:br/>
        <w:t>We match the method to the question. That is the entire argument.”</w:t>
      </w:r>
    </w:p>
    <w:p>
      <w:pPr>
        <w:spacing w:after="24" w:before="260"/>
      </w:pPr>
      <w:r>
        <w:rPr>
          <w:rFonts w:ascii="Arial" w:cs="Arial" w:eastAsia="Arial" w:hAnsi="Arial"/>
          <w:b/>
          <w:bCs/>
          <w:color w:val="2A4D6E"/>
          <w:sz w:val="14"/>
          <w:szCs w:val="14"/>
        </w:rPr>
        <w:t>THE ONE PART THAT IS SLIGHTLY MORE THAN DESCRIPTIVE</w:t>
      </w:r>
    </w:p>
    <w:p>
      <w:pPr>
        <w:spacing w:after="110" w:before="0" w:line="285"/>
      </w:pPr>
      <w:r>
        <w:rPr>
          <w:rFonts w:ascii="Arial" w:cs="Arial" w:eastAsia="Arial" w:hAnsi="Arial"/>
          <w:b w:val="false"/>
          <w:bCs w:val="false"/>
          <w:i w:val="false"/>
          <w:iCs w:val="false"/>
          <w:color w:val="1A1A1A"/>
          <w:sz w:val="19"/>
          <w:szCs w:val="19"/>
        </w:rPr>
        <w:t>The job seeker side also carries a one-group pretest-posttest. Four questions are asked BEFORE respondents see the system and the same four are asked AFTER they have used it. That lets you measure the change in each person’s own answer instead of guessing at it.</w:t>
      </w:r>
    </w:p>
    <w:p>
      <w:pPr>
        <w:spacing w:after="110" w:before="0" w:line="285"/>
      </w:pPr>
      <w:r>
        <w:rPr>
          <w:rFonts w:ascii="Arial" w:cs="Arial" w:eastAsia="Arial" w:hAnsi="Arial"/>
          <w:b w:val="false"/>
          <w:bCs w:val="false"/>
          <w:i w:val="false"/>
          <w:iCs w:val="false"/>
          <w:color w:val="1A1A1A"/>
          <w:sz w:val="19"/>
          <w:szCs w:val="19"/>
        </w:rPr>
        <w:t>Say its weakness before the panel finds it. Campbell and Stanley (1963) classify this as pre-experimental, which is the polite phrase for the weak version. There is no control group and no random assignment, so you cannot claim the system caused the change. The person may simply have thought harder about the question the second time, or learned something in between, or given the answer they believed you wanted.</w:t>
      </w:r>
    </w:p>
    <w:p>
      <w:pPr>
        <w:pBdr>
          <w:left w:val="single" w:color="2F5D3A" w:sz="14" w:space="8"/>
        </w:pBdr>
        <w:spacing w:after="110" w:line="292"/>
        <w:ind w:left="480" w:right="140"/>
      </w:pPr>
      <w:r>
        <w:rPr>
          <w:rFonts w:ascii="Arial" w:cs="Arial" w:eastAsia="Arial" w:hAnsi="Arial"/>
          <w:color w:val="1F3D2B"/>
          <w:sz w:val="18"/>
          <w:szCs w:val="18"/>
        </w:rPr>
        <w:t>“We report it as a change observed in one group. We do not report it as a cause.</w:t>
        <w:br/>
        <w:br/>
        <w:t>We have no control group and no random assignment, so a causal claim would not be supported by our design — and our Limitations section says exactly that, in those words.</w:t>
        <w:br/>
        <w:br/>
        <w:t>What the pairing does buy us is that each respondent is compared with themselves, so we are not comparing two different sets of people and hoping they were alike.”</w:t>
      </w:r>
    </w:p>
    <w:p>
      <w:pPr>
        <w:spacing w:after="24" w:before="260"/>
      </w:pPr>
      <w:r>
        <w:rPr>
          <w:rFonts w:ascii="Arial" w:cs="Arial" w:eastAsia="Arial" w:hAnsi="Arial"/>
          <w:b/>
          <w:bCs/>
          <w:color w:val="2A4D6E"/>
          <w:sz w:val="14"/>
          <w:szCs w:val="14"/>
        </w:rPr>
        <w:t>WHY ISO 25010</w:t>
      </w:r>
    </w:p>
    <w:p>
      <w:pPr>
        <w:spacing w:after="110" w:before="0" w:line="285"/>
      </w:pPr>
      <w:r>
        <w:rPr>
          <w:rFonts w:ascii="Arial" w:cs="Arial" w:eastAsia="Arial" w:hAnsi="Arial"/>
          <w:b w:val="false"/>
          <w:bCs w:val="false"/>
          <w:i w:val="false"/>
          <w:iCs w:val="false"/>
          <w:color w:val="1A1A1A"/>
          <w:sz w:val="19"/>
          <w:szCs w:val="19"/>
        </w:rPr>
        <w:t>You needed criteria for judging the system, and you needed them from OUTSIDE, chosen BEFORE any data was collected. If you invented your own headings afterwards, a panelist could fairly say you picked the headings your system happened to score well on. ISO 25010 is an international standard, so you did not get to choose what you would be judged on. You use three of its characteristics: usability, functional suitability and reliability.</w:t>
      </w:r>
    </w:p>
    <w:p>
      <w:pPr>
        <w:spacing w:after="110" w:line="285"/>
        <w:ind w:left="480"/>
      </w:pPr>
      <w:r>
        <w:rPr>
          <w:rFonts w:ascii="Arial" w:cs="Arial" w:eastAsia="Arial" w:hAnsi="Arial"/>
          <w:b/>
          <w:bCs/>
          <w:color w:val="8C2A2A"/>
          <w:sz w:val="16"/>
          <w:szCs w:val="16"/>
        </w:rPr>
        <w:t>Follow-up trap — “Show me the ISO 25010 questionnaire.” There is not one, and knowing that is a mark in your favour. ISO 25010 is a quality MODEL: it supplies the categories, and we wrote the items. The instrument we do use unaltered is the System Usability Scale (Brooke, 1996), ten fixed items scored nought to one hundred, benchmarked against the mean of approximately 70 reported by Bangor, Kortum and Miller (2008) across 2,324 administrations. That SUS mean is the only figure in this study compared against a number produced outside it.</w:t>
      </w:r>
    </w:p>
    <w:p>
      <w:pPr>
        <w:spacing w:after="24" w:before="260"/>
      </w:pPr>
      <w:r>
        <w:rPr>
          <w:rFonts w:ascii="Arial" w:cs="Arial" w:eastAsia="Arial" w:hAnsi="Arial"/>
          <w:b/>
          <w:bCs/>
          <w:color w:val="2A4D6E"/>
          <w:sz w:val="14"/>
          <w:szCs w:val="14"/>
        </w:rPr>
        <w:t>THE ONE SENTENCE TO MEMORISE</w:t>
      </w:r>
    </w:p>
    <w:p>
      <w:pPr>
        <w:pBdr>
          <w:left w:val="single" w:color="2F5D3A" w:sz="14" w:space="8"/>
        </w:pBdr>
        <w:spacing w:after="110" w:line="292"/>
        <w:ind w:left="480" w:right="140"/>
      </w:pPr>
      <w:r>
        <w:rPr>
          <w:rFonts w:ascii="Arial" w:cs="Arial" w:eastAsia="Arial" w:hAnsi="Arial"/>
          <w:color w:val="1F3D2B"/>
          <w:sz w:val="18"/>
          <w:szCs w:val="18"/>
        </w:rPr>
        <w:t>“We built the system with Agile because our requirements changed as we tested, and we studied it with a quantitative descriptive design because our questions ask how many and how highly rated — not why.”</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groups rate our system against three ISO 25010 characteristics.</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Q40  </w:t>
      </w:r>
      <w:r>
        <w:rPr>
          <w:rFonts w:ascii="Arial" w:cs="Arial" w:eastAsia="Arial" w:hAnsi="Arial"/>
          <w:b/>
          <w:bCs/>
          <w:color w:val="1A1A1A"/>
          <w:sz w:val="19"/>
          <w:szCs w:val="19"/>
        </w:rPr>
        <w:t xml:space="preserve">You built software. Is Agile your research design?</w:t>
      </w:r>
    </w:p>
    <w:p>
      <w:pPr>
        <w:pBdr>
          <w:left w:val="single" w:color="2F5D3A" w:sz="14" w:space="8"/>
        </w:pBdr>
        <w:spacing w:after="110" w:line="292"/>
        <w:ind w:left="480" w:right="140"/>
      </w:pPr>
      <w:r>
        <w:rPr>
          <w:rFonts w:ascii="Arial" w:cs="Arial" w:eastAsia="Arial" w:hAnsi="Arial"/>
          <w:color w:val="1F3D2B"/>
          <w:sz w:val="18"/>
          <w:szCs w:val="18"/>
        </w:rPr>
        <w:t>“No — and our paper draws that line explicitly, in the Method.</w:t>
        <w:br/>
        <w:br/>
        <w:t>Agile is a SOFTWARE DEVELOPMENT methodology. It governs how the system was built. It does not govern how the study investigates anything.</w:t>
        <w:br/>
        <w:br/>
        <w:t>The rule we state is simple. Where the paper says phases, sprints or iterations, it is describing CONSTRUCTION. Where it says instruments, respondents, items or means, it is describing RESEARCH.</w:t>
        <w:br/>
        <w:br/>
        <w:t>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“We use both, for different jobs.</w:t>
        <w:br/>
        <w:br/>
        <w:t>Our questions ask about three ISO 25010 characteristics,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produces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We benchmark against approximately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“Using the 5W1H framework.</w:t>
        <w:br/>
        <w:br/>
        <w:t>WHO is involved. WHAT job seekers and recruiters currently do. WHERE and WHEN they do it. HOW the work is actually performed. And WHY the current arrangements persist.</w:t>
        <w:br/>
        <w:br/>
        <w:t>I should be clear about what kind of analysis it is. It is desk-based,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“For the version of the paper you are reading, that is a fair description. I accept it.</w:t>
        <w:br/>
        <w:br/>
        <w:t>It is also why the requirement-analysis instruments exist. Instruments 1 and 2 go out before the system is complete, and ask job seekers and HR personnel directly about their current practice.</w:t>
        <w:br/>
        <w:br/>
        <w:t>Here is what we could NOT do. We could not let those responses reshape features that were already built.</w:t>
        <w:br/>
        <w:br/>
        <w:t>That is a sequencing limitation. We state it in the paper rather than disguise it.”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“The gaps we identified in the analysis — each one mapped to the feature that addresses it.</w:t>
        <w:br/>
        <w:br/>
        <w:t>The purpose of the mapping is that no feature in the system exists without a stated reason for existing.</w:t>
        <w:br/>
        <w:br/>
        <w:t>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Q47  </w:t>
      </w:r>
      <w:r>
        <w:rPr>
          <w:rFonts w:ascii="Arial" w:cs="Arial" w:eastAsia="Arial" w:hAnsi="Arial"/>
          <w:b/>
          <w:bCs/>
          <w:color w:val="1A1A1A"/>
          <w:sz w:val="19"/>
          <w:szCs w:val="19"/>
        </w:rPr>
        <w:t xml:space="preserve">Why Agile rather than Waterfall?</w:t>
      </w:r>
    </w:p>
    <w:p>
      <w:pPr>
        <w:pBdr>
          <w:left w:val="single" w:color="2F5D3A" w:sz="14" w:space="8"/>
        </w:pBdr>
        <w:spacing w:after="60" w:line="292"/>
        <w:ind w:left="480" w:right="140"/>
      </w:pPr>
      <w:r>
        <w:rPr>
          <w:rFonts w:ascii="Arial" w:cs="Arial" w:eastAsia="Arial" w:hAnsi="Arial"/>
          <w:color w:val="1F3D2B"/>
          <w:sz w:val="18"/>
          <w:szCs w:val="18"/>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the evidence of iteration. Which sprint changed what?” The iteration is visible in the version history of the codebase, not in the manuscript. Say that rather than inventing a sprint log.</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does Figure 2 still say MySQL?” Concede it. The figure is stale and is being regenerated.</w:t>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“The text is the intended schedule. The chart image is an older version that was never regenerated.</w:t>
        <w:br/>
        <w:br/>
        <w:t>That is on us, and it is being corrected.</w:t>
        <w:br/>
        <w:br/>
        <w:t>I would rather say that plainly than stand here trying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“Three levels.</w:t>
        <w:br/>
        <w:br/>
        <w:t>FIRST, automated regression tests, across eleven suites, among them the matching engine, the API driven over HTTP, cross-side integration, email delivery, the extraction feature, the rule-based document reader, storage, and browser-versus-server parity.</w:t>
        <w:br/>
        <w:br/>
        <w:t>SECOND, browser walkthroughs that drive the complete interface the way a real user would — including at a 390-pixel phone width.</w:t>
        <w:br/>
        <w:br/>
        <w:t>THIRD, the evaluation with respondents. That one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“No — and the section says so BEFORE the number appears, deliberately.</w:t>
        <w:br/>
        <w:br/>
        <w:t>Software verification establishes that the system behaves as specified. That is engineering evidence, and we produced it ourselves.</w:t>
        <w:br/>
        <w:br/>
        <w:t>So the test counts are a record of development work. They are not findings of the study.</w:t>
        <w:br/>
        <w:br/>
        <w:t>The research data comes from the respondents. Nowhere else.”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“They prove the formula is implemented faithfully, and identically on both sides. The browser and the server agree across a five-hundred-pair randomised sweep.</w:t>
        <w:br/>
        <w:br/>
        <w:t>What they do NOT do is validate the formula against recruiter judgement. A test cannot tell us the formula is right — only that it runs the way we said it does.</w:t>
        <w:br/>
        <w:br/>
        <w:t>That is what research question six is for. And it is why the recruiter instrument asks them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“Two groups, fifty in total.</w:t>
        <w:br/>
        <w:br/>
        <w:t>Forty job seekers. That includes students preparing to apply, recent graduates, people looking for entry-level work, and people who already have a job and want a different one.</w:t>
        <w:br/>
        <w:br/>
        <w:t>And all the HR personnel the partner department can release, which we expect to be ten.</w:t>
        <w:br/>
        <w:br/>
        <w:t>We invite fifty-five to sixty job seekers to end up with forty. The before and after surveys are on different days, and not everyone comes back.</w:t>
        <w:br/>
        <w:br/>
        <w:t>Sampling is purposive. A job seeker must be preparing to apply or looking.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Q55  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“We can show you one, because the study now has one test that needs it. The four paired items are tested with the Wilcoxon signed-rank test, and that is the only place a hypothesis is stated.</w:t>
        <w:br/>
        <w:br/>
        <w:t>To detect a medium change at eighty percent power, with alpha at point-oh-five, two-tailed, that test needs thirty-five people who complete BOTH surveys. A medium change is Cohen’s dz of nought point five.</w:t>
        <w:br/>
        <w:br/>
        <w:t>We set the target at forty. That reaches a slightly smaller change, about nought point four-five.</w:t>
        <w:br/>
        <w:br/>
        <w:t>On a five-point scale, a medium change is roughly half a point — an item averaging three point nought before and three point five after. That holds as long as the answers are not wildly spread.</w:t>
        <w:br/>
        <w:br/>
        <w:t>Forty is people who FINISH BOTH, not people invited. The before survey goes out before the system is finished, and the after survey comes later. Some do not return.</w:t>
        <w:br/>
        <w:br/>
        <w:t>And losing one person loses the whole pair, because the test compares each person against themselves. So we budget for losing a quarter to a third, and invite fifty-five to sixty.</w:t>
        <w:br/>
        <w:br/>
        <w:t>The rest of the study is descriptive. There, forty is a practical minimum for one site — enough for a five-point item to have a mean with a distribution worth showing, and small enough to recruit through one school.</w:t>
        <w:br/>
        <w:br/>
        <w:t>It is fixed in advance, not decided as responses arrive. And whatever number we actually achieve is reported with the findings. A shortfall gets reported as a shortfall, not absorbed.”</w:t>
      </w:r>
    </w:p>
    <w:p>
      <w:pPr>
        <w:spacing w:after="110" w:line="285"/>
        <w:ind w:left="480"/>
      </w:pPr>
      <w:r>
        <w:rPr>
          <w:rFonts w:ascii="Arial" w:cs="Arial" w:eastAsia="Arial" w:hAnsi="Arial"/>
          <w:b/>
          <w:bCs/>
          <w:color w:val="8C2A2A"/>
          <w:sz w:val="16"/>
          <w:szCs w:val="16"/>
        </w:rPr>
        <w:t>Follow-up trap — “Why not Slovin’s formula?” Because Slovin and margin-of-error calculators are for RANDOM sampling — names out of a hat — and margin of error is a property of random sampling. Ours is purposive, and the paper says so, so a margin of error computed over it would be arithmetic with nothing attached. This is the likeliest follow-up in a Philippine defence, and a correct answer earns more than the question costs.</w:t>
        <w:br/>
        <w:t>Second trap — “So you are underpowered.” For small changes, yes, and say so: about ninety-four pairs would be needed to detect a change of nought point three. Concede it and point at Limitations. If the result comes back non-significant, the honest sentence is “no difference was detected at this sample size”, never “there was no difference”.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“That is exactly right, and it is why we never report the HR means on their own.</w:t>
        <w:br/>
        <w:br/>
        <w:t>The HR group is not a sample. It is a census. The department employs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“Several companies would have given us variation. Different industries screen differently, and we would have learned whether our findings hold outside outsourcing. That is a real loss.</w:t>
        <w:br/>
        <w:br/>
        <w:t>What ONE department gives us instead is depth and a shared context.</w:t>
        <w:br/>
        <w:br/>
        <w:t>All ten respondents screen for the same organisation, against the same kinds of openings. So when they disagree about a score, we know the disagreement is about the SYSTEM — not about their industries.</w:t>
        <w:br/>
        <w:br/>
        <w:t>It also lets us take the whole department, rather than a few volunteers from many. That is why we call it a purposive census.</w:t>
        <w:br/>
        <w:br/>
        <w:t>The cost is generalisability, and we say so. Our findings describe how one BPO HR department rated our system.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“Five instruments. One hundred and seventeen items. Every single one closed — one-choice, tick-all-that-apply, a five-point agreement scale, or one ranking task. Nobody is ever asked to write anything.</w:t>
        <w:br/>
        <w:br/>
        <w:t>TWO GO OUT BEFORE the system is finished, as requirement analysis. Instrument A for job seekers, twenty-three items. Instrument B for HR, twenty-two.</w:t>
        <w:br/>
        <w:br/>
        <w:t>TWO GO OUT AFTER people have used it. Instrument C, thirty-nine items. Instrument D, twenty-eight.</w:t>
        <w:br/>
        <w:br/>
        <w:t>THEN INSTRUMENT E, five items — and this one is a task, not a questionnaire. The recruiter puts five résumés in the order they would actually read them. We then compute Spearman's rank correlation between their order and the system's.</w:t>
        <w:br/>
        <w:br/>
        <w:t>E is the only place we MEASURE research question six. Instrument D asks recruiters whether they THINK the order matched; E finds out whether it did.</w:t>
        <w:br/>
        <w:br/>
        <w:t>Everything is delivered through Google Forms, and responses are anonymous.</w:t>
        <w:br/>
        <w:br/>
        <w:t>One thing to be accurate about, before anyone catches it. We say researcher-developed, and that is true of a hundred and seven items. Ten of Instrument C's thirty-nine are the System Usability Scale, reproduced from Brooke unaltered.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“There is no such thing as an ISO 25010 questionnaire. The standard lists quality characteristics. It does not publish a survey.</w:t>
        <w:br/>
        <w:br/>
        <w:t>Our questions are our own, and the paper says so plainly.</w:t>
        <w:br/>
        <w:br/>
        <w:t>What ISO 25010 gives us is the frame. We use three of its eight characteristics to decide what the after-use questions ask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“Because those three are the only ones our respondents can actually judge from using the system.</w:t>
        <w:br/>
        <w:br/>
        <w:t>Functional suitability, usability and reliability are things a person who has built a resume, applied to a posting and read a score can describe from experience.</w:t>
        <w:br/>
        <w:br/>
        <w:t>Security is different. We verify it by system testing, not by questionnaire — a respondent cannot tell you whether passwords are hashed.</w:t>
        <w:br/>
        <w:br/>
        <w:t>And maintainability and portability are not user-facing at all. Asking about them would produce answers about nothing.”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“It does not, and our Instrument section says the three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currently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demonstrates the system or sits beside them. When the tasks are done they get the questionnaire link and answer it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“Because Instrument 2 asks recruiters what THEY weigh when screening.</w:t>
        <w:br/>
        <w:br/>
        <w:t>If we told them first that skills carry fifty percent in our system, their answer would just be an echo of ours.</w:t>
        <w:br/>
        <w:br/>
        <w:t>So the paper commits to withholding the weights until after they have answered. That way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“There is no interpretation step for us to disagree about. A respondent picked a point on a scale, and we averaged it.</w:t>
        <w:br/>
        <w:br/>
        <w:t>What CAN go wrong is arithmetic. So all three of us compute the means for one instrument independently and compare, before the full analysis goes ahead.</w:t>
        <w:br/>
        <w:br/>
        <w:t>The interpretation scale is fixed and published before any data is collected. That stops us choosing the bands that flatter whatever we get.</w:t>
        <w:br/>
        <w:br/>
        <w:t>Every percentage is printed with the count it came from. And the spreadsheet formulas stay with the data, so any figure can be traced back to the responses that produced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“That is correct, and our Limitations section says it in those words.</w:t>
        <w:br/>
        <w:br/>
        <w:t>The instrument measures how strongly respondents agree with statements WE wrote. It cannot surface a problem that no item asks about.</w:t>
        <w:br/>
        <w:br/>
        <w:t>The pilot test is the only stage where an unanticipated issue can still get into the instrument. Anything that comes up after distribution is lost to this study.</w:t>
        <w:br/>
        <w:br/>
        <w:t>Here is what we get in exchange. A figure anyone can compute the same way, compare across the two respondent groups, and check against the interpretation scale we published in advance.</w:t>
        <w:br/>
        <w:br/>
        <w:t>We are not claiming that is the better trade in general. Only that it is the trade this study made —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“The median is defensible, and some reviewers do prefer it for ordinal data. Their reason is sound: the gap between "agree" and "strongly agree" is not truly the same size as the gap between "disagree" and "neither".</w:t>
        <w:br/>
        <w:br/>
        <w:t>We use the weighted mean for two reasons. It is the convention for ISO 25010 evaluation in this kind of study. And it lets us average several items into one characteristic, which a median cannot do sensibly.</w:t>
        <w:br/>
        <w:br/>
        <w:t>We also print the DISTRIBUTION beside every mean. So a reader who objects to treating the scale as interval can read the distribution instead and reach their own view.</w:t>
        <w:br/>
        <w:br/>
        <w:t>And there is one place we DO treat the data as strictly ordinal — the paired block. Wilcoxon signed-rank works on ranked differences and assumes no distribution. That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“Three things.</w:t>
        <w:br/>
        <w:br/>
        <w:t>CONTENT VALIDITY. Our adviser reviews every item against the research question or ISO characteristic it was written for. Items judged not essential get reworded or dropped, following Lawshe.</w:t>
        <w:br/>
        <w:br/>
        <w:t>INTERNAL CONSISTENCY. Cronbach’s alpha, computed per characteristic once responses are in — and reported as it stands, even if it comes out below 0.70.</w:t>
        <w:br/>
        <w:br/>
        <w:t>CONDITIONS OF ADMINISTRATION. Anonymous responses. No researcher in the room while people answer. And an invitation that says outright that low ratings are as useful to us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“We report it as it stands, together with the items that caused it.</w:t>
        <w:br/>
        <w:br/>
        <w:t>Here is what we will NOT do. We will not drop items one by one until alpha looks acceptable, and then report the improved figure.</w:t>
        <w:br/>
        <w:br/>
        <w:t>The reason is simple. That figure would describe an instrument nobody ever answered.</w:t>
        <w:br/>
        <w:br/>
        <w:t>A low alpha on a characteristic means the items in it are not measuring one thing. That is a real finding about our instrument, and the next study deserves to have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“Consent comes first, before any question is shown.</w:t>
        <w:br/>
        <w:br/>
        <w:t>Responses carry no name and no email address. They are identified only by number.</w:t>
        <w:br/>
        <w:br/>
        <w:t>Participation is voluntary, and a respondent can stop at any point. If they do, their partial responses are DELETED, not kept.</w:t>
        <w:br/>
        <w:br/>
        <w:t>Raw responses live in an access-restricted folder and are destroyed once the study is approved.</w:t>
        <w:br/>
        <w:br/>
        <w:t>We cite Republic Act 10173, the Data Privacy Act. And the system itself lets a user export their data or delete their account.”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“It is credible for the response itself, and we do not overstate it.</w:t>
        <w:br/>
        <w:br/>
        <w:t>We collect no name and no email. Each response carries only a number. So we cannot tell who answered what.</w:t>
        <w:br/>
        <w:br/>
        <w:t>But here is what anonymity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too,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“Seven steps, in order.</w:t>
        <w:br/>
        <w:br/>
        <w:t>ONE — prepare. Export from Forms, number every response, and exclude anyone who did not complete the rated items. We report how many that was.</w:t>
        <w:br/>
        <w:br/>
        <w:t>TWO — frequency distributions for the choice and checklist items, per group. Checklist percentages are taken out of RESPONDENTS, not out of ticks.</w:t>
        <w:br/>
        <w:br/>
        <w:t>THREE — a weighted mean and standard deviation for every rated item.</w:t>
        <w:br/>
        <w:br/>
        <w:t>FOUR — average the ISO-labelled items into one mean per characteristic. Seventeen items in Instrument C, fourteen in D.</w:t>
        <w:br/>
        <w:br/>
        <w:t>FIVE — Wilcoxon signed-rank on the four items we asked both before and after.</w:t>
        <w:br/>
        <w:br/>
        <w:t>SIX — the System Usability Scale, scored by its own published procedure.</w:t>
        <w:br/>
        <w:br/>
        <w:t>SEVEN — Spearman’s rho, between each recruiter’s ordering of five résumés and the system’s.</w:t>
        <w:br/>
        <w:br/>
        <w:t>And note this: only step five produces a p-value. Everything else is description.”</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spacing w:after="110" w:before="260" w:line="290"/>
      </w:pPr>
      <w:r>
        <w:rPr>
          <w:rFonts w:ascii="Arial" w:cs="Arial" w:eastAsia="Arial" w:hAnsi="Arial"/>
          <w:b/>
          <w:bCs/>
          <w:i w:val="false"/>
          <w:iCs w:val="false"/>
          <w:color w:val="1A1A1A"/>
          <w:sz w:val="22"/>
          <w:szCs w:val="22"/>
        </w:rPr>
        <w:t xml:space="preserve">The benchmark, and exactly how far it goes</w:t>
      </w:r>
    </w:p>
    <w:p>
      <w:pPr>
        <w:spacing w:after="110" w:before="0" w:line="285"/>
      </w:pP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Your Method now names one and cites it.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4118"/>
        <w:gridCol w:w="243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Source</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gives you</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(2008), IJHCI 24(6), 574–594</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of approximately 70 across 2,324 individual administrations. This is the benchmark your Method reports against.</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reference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(2009), Journal of Usability Studies 4(3), 114–123</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adjective rating scale, so a single score can be described in words rather than only as a number.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and freely readable at uxpajournal.org — so read this one first.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Lewis (2018), IJHCI 34(7), 577–590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review of the scale from the 1980s to now, including what is known about its norms and its factor structure.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Sauro (2011)</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figure of 68 with an SD of 12.5, which is the number quoted almost everywhere online.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NOT CITED — a self-published practitioner guide, not peer-reviewed. Do not quote 68.</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Two qualifications to volunteer before you are asked</w:t>
      </w:r>
      <w:r>
        <w:br/>
      </w:r>
      <w:r>
        <w:rPr>
          <w:rFonts w:ascii="Arial" w:cs="Arial" w:eastAsia="Arial" w:hAnsi="Arial"/>
          <w:b w:val="false"/>
          <w:bCs w:val="false"/>
          <w:i w:val="false"/>
          <w:iCs w:val="false"/>
          <w:color w:val="1A1A1A"/>
          <w:sz w:val="19"/>
          <w:szCs w:val="19"/>
        </w:rPr>
        <w:t xml:space="preserve">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“Not yet. No responses have been collected.</w:t>
        <w:br/>
        <w:br/>
        <w:t>Alpha is computed FROM the data, so until the instruments go out there is nothing to compute it from.</w:t>
        <w:br/>
        <w:br/>
        <w:t>What we have already committed to in the Method is how it will be reported: per ISO characteristic, and as it stands —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“The DIRECTION comes from the literature — weighting skills more heavily than domain, for early-career applicants.</w:t>
        <w:br/>
        <w:br/>
        <w:t>The specific split is our own design decision. Skills carry half because skills are what a posting actually lists as required. Education and experience are equal because, for fresh graduates, neither one reliably dominates.</w:t>
        <w:br/>
        <w:br/>
        <w:t>I want to be straight about the weak point. We did not derive fifty percent empirically. Nobody measured it.</w:t>
        <w:br/>
        <w:br/>
        <w:t>That is exactly why two things are true. The weights are configuration values, not code — so they can be changed. And Instrument 2 asks recruiters what THEY weigh,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“Fifty percent, and the system labels that a possible match.</w:t>
        <w:br/>
        <w:br/>
        <w:t>That follows from one rule: an unspecified requirement is never held against the applicant. So both unspecified components pay out in full, while their weight stays in the total.</w:t>
        <w:br/>
        <w:br/>
        <w:t>Follow it to the end and a posting that specifies NOTHING gives everyone one hundred.</w:t>
        <w:br/>
        <w:br/>
        <w:t>I accept the criticism. Renormalising over only the components the posting actually specified would be the more defensible design.</w:t>
        <w:br/>
        <w:br/>
        <w:t>We name that in our delimitations rather than leave it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“We give each level a rank. High school one, vocational two, associate three, bachelor four, master five.</w:t>
        <w:br/>
        <w:br/>
        <w:t>Then we take the applicant’s highest, divide by what the posting requires, and cap it at one.</w:t>
        <w:br/>
        <w:br/>
        <w:t>The intent is partial credit. Someone one level short should score better than someone three levels short — not both score zero.</w:t>
        <w:br/>
        <w:br/>
        <w:t>The criticism I accept: this treats an ordinal scale as if the gaps between levels were equal. They are not. That is a real simplification.</w:t>
        <w:br/>
        <w:br/>
        <w:t>What bounds the damage is that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“It has fifty-two entries that resolve to twenty-five standard forms.</w:t>
        <w:br/>
        <w:br/>
        <w:t>We measured it against the twenty-five skill terms in our catalogue, which are the terms our postings use. Eighteen of them — seventy-two percent — have at least one synonym written for them.</w:t>
        <w:br/>
        <w:br/>
        <w:t>Seven do not: Git, Windows, Canva, Copywriting, Organization, Recruitment and Scheduling.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“The resume built inside our platform is the only thing ranking uses. Its fields are unambiguous, and the applicant can correct them.</w:t>
        <w:br/>
        <w:br/>
        <w:t>The uploaded file is passed to the recruiter untouched, so nothing the applicant chose to say is lost to a parser.</w:t>
        <w:br/>
        <w:br/>
        <w:t>We also read that file into the same fields and score it with the same formula. But that second score never puts anybody in order.”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“No, and the paper no longer says that. It says the comparison is ILLUSTRATIVE — not a measurement of any particular commercial system.</w:t>
        <w:br/>
        <w:br/>
        <w:t>Here is the honest problem. A low score on an uploaded file may mean the document was formatted badly, or it may mean our extraction step failed. The system cannot tell the two apart.</w:t>
        <w:br/>
        <w:br/>
        <w:t>So what we report to the applicant is an indication of how their document reads to software. It is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“No score — and the reason why.</w:t>
        <w:br/>
        <w:br/>
        <w:t>The distinction matters. Zero is a CLAIM. “No score” is an ADMISSION.</w:t>
        <w:br/>
        <w:br/>
        <w:t>A zero would be saying: we read your document and it matched nothing. But if extraction failed, we did not read it at all. Printing zero would tell the applicant something false about their own resume.</w:t>
        <w:br/>
        <w:br/>
        <w:t>It is the same principle as a new education entry starting at “not stated yet” instead of quietly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“Three accounts.</w:t>
        <w:br/>
        <w:br/>
        <w:t>A Job Seeker builds resumes, picks from fourteen designs and three formats, exports, browses our partner’s openings, gets recommendations, applies, follows the application across ten statuses,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produces the anonymous study figures.”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“The administrator is a governance role, held by our research team. It is not an external user, so there is no population to sample from.</w:t>
        <w:br/>
        <w:br/>
        <w:t>Its functions are verified by system testing instead. Recruiter approval, department assignment and the metrics export are all covered by the API tests.</w:t>
        <w:br/>
        <w:br/>
        <w:t>And the paper states that openly, rather than leaving the gap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“No. There are ten statuses, and withdrawn is deliberately missing from a recruiter’s picker.</w:t>
        <w:br/>
        <w:br/>
        <w:t>Only the applicant can withdraw their own application. That is theirs to do.</w:t>
        <w:br/>
        <w:br/>
        <w:t>Every other status change is recorded against the recruiter who made it, and the time they made it.”</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“Not entirely, and I would rather say so before you find it yourself.</w:t>
        <w:br/>
        <w:br/>
        <w:t>The public link is a self-contained DEMONSTRATION build. It runs entirely in the browser on seeded sample data, which is why it opens without a server.</w:t>
        <w:br/>
        <w:br/>
        <w:t>It does not use the Express server, PostgreSQL, Supabase or the extraction service.</w:t>
        <w:br/>
        <w:br/>
        <w:t>The full system is the API build — hashed passwords, role-based access control, the extraction feature. That is the one our automated tests run against.</w:t>
        <w:br/>
        <w:br/>
        <w:t>And no real applicant data exists in the demo at all.”</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“It is true of the API build. That one uses bcrypt, with a timing equaliser on failed logins.</w:t>
        <w:br/>
        <w:br/>
        <w:t>It is NOT true of the demonstration build. There, the seeded sample account passwords are plain strings sitting in browser storage.</w:t>
        <w:br/>
        <w:br/>
        <w:t>Those are sample accounts we created ourselves, not user data.</w:t>
        <w:br/>
        <w:br/>
        <w:t>But the manuscript should distinguish the two builds where it makes that claim,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3.4a  The accounts to log in with</w:t>
      </w:r>
    </w:p>
    <w:p>
      <w:pPr>
        <w:spacing w:after="24" w:before="260"/>
      </w:pPr>
      <w:r>
        <w:rPr>
          <w:rFonts w:ascii="Arial" w:cs="Arial" w:eastAsia="Arial" w:hAnsi="Arial"/>
          <w:b/>
          <w:bCs/>
          <w:color w:val="A81733"/>
          <w:sz w:val="14"/>
          <w:szCs w:val="14"/>
        </w:rPr>
        <w:t>BASIC</w:t>
      </w:r>
    </w:p>
    <w:p>
      <w:pPr>
        <w:spacing w:after="70" w:line="285"/>
        <w:ind w:left="420" w:hanging="420"/>
      </w:pPr>
      <w:r>
        <w:rPr>
          <w:rFonts w:ascii="Arial" w:cs="Arial" w:eastAsia="Arial" w:hAnsi="Arial"/>
          <w:b/>
          <w:bCs/>
          <w:color w:val="8C2A2A"/>
          <w:sz w:val="19"/>
          <w:szCs w:val="19"/>
        </w:rPr>
        <w:t>Q109a  What do we sign in with to show you the admin side?</w:t>
      </w:r>
    </w:p>
    <w:p>
      <w:pPr>
        <w:pBdr>
          <w:left w:val="single" w:color="2F5D3A" w:sz="14" w:space="8"/>
        </w:pBdr>
        <w:spacing w:after="60" w:line="292"/>
        <w:ind w:left="480" w:right="140"/>
      </w:pPr>
      <w:r>
        <w:rPr>
          <w:rFonts w:ascii="Arial" w:cs="Arial" w:eastAsia="Arial" w:hAnsi="Arial"/>
          <w:color w:val="1F3D2B"/>
          <w:sz w:val="18"/>
          <w:szCs w:val="18"/>
        </w:rPr>
        <w:t>“On the demo build, admin@demo.ph with the password demo123. Every seeded account uses demo123 — one admin, two recruiters, four job seekers.</w:t>
        <w:br/>
        <w:br/>
        <w:t>On the API build there is no default admin at all. None is seeded, and there is no sign-up path to the role. It is created from the command line on the server:</w:t>
        <w:br/>
        <w:br/>
        <w:t xml:space="preserve">     npm run create-admin -- &lt;email&gt; &lt;password&gt;</w:t>
        <w:br/>
        <w:br/>
        <w:t>That is deliberate. An account that can approve recruiters should not be obtainable by filling in a form.”</w:t>
      </w:r>
    </w:p>
    <w:p>
      <w:pPr>
        <w:spacing w:after="110" w:line="285"/>
        <w:ind w:left="480"/>
      </w:pPr>
      <w:r>
        <w:rPr>
          <w:rFonts w:ascii="Arial" w:cs="Arial" w:eastAsia="Arial" w:hAnsi="Arial"/>
          <w:b/>
          <w:bCs/>
          <w:color w:val="8C2A2A"/>
          <w:sz w:val="16"/>
          <w:szCs w:val="16"/>
        </w:rPr>
        <w:t>Follow-up trap — “So anyone with your repository can log in as your admin.” On the demo build, yes, and it holds nothing but sample data we wrote. On the API build the password is chosen by whoever runs create-admin, is stored only as a bcrypt hash, and appears in no file in the repository.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Role</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Email</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Password</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Admin — Research Team</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admin@demo.ph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Recruiter — Maria Santos</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hr@demo.ph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Recruiter — Grace Lopez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grace@demo.ph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Juan Dela Cruz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Ana Reyes</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ana@demo.ph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Marco Garcia</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marco@demo.ph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Liza Cruz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liza@demo.ph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bl>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“Three things.</w:t>
        <w:br/>
        <w:br/>
        <w:t>ONE — a posting with no requirements. That is the fifty-percent case, and it looks strange live.</w:t>
        <w:br/>
        <w:br/>
        <w:t>TWO — a high-school applicant against a master’s posting. That reads as a strong match at eighty, and it needs explaining rather than demonstrating.</w:t>
        <w:br/>
        <w:br/>
        <w:t>THREE — anything that assumes a server on the demo build. The database, or a real extraction call.</w:t>
        <w:br/>
        <w:br/>
        <w:t>I would rather answer the design question about any of those than run it live and then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pPr>
        <w:pBdr>
          <w:bottom w:val="single" w:color="B9B1A4" w:sz="8" w:space="5"/>
        </w:pBdr>
        <w:spacing w:after="120" w:before="340" w:line="290"/>
      </w:pPr>
      <w:r>
        <w:rPr>
          <w:rFonts w:ascii="Arial" w:cs="Arial" w:eastAsia="Arial" w:hAnsi="Arial"/>
          <w:b/>
          <w:bCs/>
          <w:color w:val="1A1A1A"/>
          <w:sz w:val="23"/>
          <w:szCs w:val="23"/>
        </w:rPr>
        <w:t>3.6  Where a skill came from, and what a rejected applicant is told</w:t>
      </w:r>
    </w:p>
    <w:p>
      <w:pPr>
        <w:spacing w:after="70" w:line="285"/>
        <w:ind w:left="300" w:hanging="300"/>
      </w:pPr>
      <w:r>
        <w:rPr>
          <w:rFonts w:ascii="Arial" w:cs="Arial" w:eastAsia="Arial" w:hAnsi="Arial"/>
          <w:b/>
          <w:bCs/>
          <w:color w:val="1A1A1A"/>
          <w:sz w:val="18"/>
          <w:szCs w:val="18"/>
        </w:rPr>
        <w:t>BASIC</w:t>
      </w:r>
    </w:p>
    <w:p>
      <w:pPr>
        <w:spacing w:after="70" w:line="285"/>
        <w:ind w:left="420" w:hanging="420"/>
      </w:pPr>
      <w:r>
        <w:rPr>
          <w:rFonts w:ascii="Arial" w:cs="Arial" w:eastAsia="Arial" w:hAnsi="Arial"/>
          <w:b/>
          <w:bCs/>
          <w:color w:val="8C2A2A"/>
          <w:sz w:val="19"/>
          <w:szCs w:val="19"/>
        </w:rPr>
        <w:t>Q112a  What does the builder ask beyond the name of a skill?</w:t>
      </w:r>
    </w:p>
    <w:p>
      <w:pPr>
        <w:pBdr>
          <w:left w:val="single" w:color="2F5D3A" w:sz="14" w:space="8"/>
        </w:pBdr>
        <w:spacing w:after="110" w:line="292"/>
        <w:ind w:left="480" w:right="140"/>
      </w:pPr>
      <w:r>
        <w:rPr>
          <w:rFonts w:ascii="Arial" w:cs="Arial" w:eastAsia="Arial" w:hAnsi="Arial"/>
          <w:color w:val="1F3D2B"/>
          <w:sz w:val="18"/>
          <w:szCs w:val="18"/>
        </w:rPr>
        <w:t>“Where they used it.</w:t>
        <w:br/>
        <w:br/>
        <w:t>The answer has to point at something already on their own resume — a job, a project, a certification, a course, or the file they uploaded. It is a dropdown built from what they have already written. Never a free text box, and the uploaded file is on it so an imported resume is not worth less than a typed one.</w:t>
        <w:br/>
        <w:br/>
        <w:t>A matched skill with a source counts in full. One without still counts, at half.”</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Q112b  Your postings publish the skills they require. What stops an applicant from simply copying that list into their resume?</w:t>
      </w:r>
    </w:p>
    <w:p>
      <w:pPr>
        <w:pBdr>
          <w:left w:val="single" w:color="2F5D3A" w:sz="14" w:space="8"/>
        </w:pBdr>
        <w:spacing w:after="110" w:line="292"/>
        <w:ind w:left="480" w:right="140"/>
      </w:pPr>
      <w:r>
        <w:rPr>
          <w:rFonts w:ascii="Arial" w:cs="Arial" w:eastAsia="Arial" w:hAnsi="Arial"/>
          <w:color w:val="1F3D2B"/>
          <w:sz w:val="18"/>
          <w:szCs w:val="18"/>
        </w:rPr>
        <w:t>“Nothing stops them. I will say that first, because it is true.</w:t>
        <w:br/>
        <w:br/>
        <w:t>And hiding the posting’s requirements would be worse. An applicant seeing what is being asked of them is the entire point of the study.</w:t>
        <w:br/>
        <w:br/>
        <w:t>What we changed is the PRICE.</w:t>
        <w:br/>
        <w:br/>
        <w:t>A skill with no named source counts half. So an applicant who genuinely has one skill out of four, and types in the other three, reaches eighty-one — not one hundred.</w:t>
        <w:br/>
        <w:br/>
        <w:t>The recruiter also ranks on the score recorded when the application was SENT. Improving a resume afterwards never reorders a shortlist that has already been worked.</w:t>
        <w:br/>
        <w:br/>
        <w:t>Let me be exact about what that achieves. It makes padding cost points, and it makes padding visible to the recruiter. It does not prevent it, and we do not claim it does.”</w:t>
      </w:r>
    </w:p>
    <w:p>
      <w:pPr>
        <w:spacing w:after="110" w:line="285"/>
        <w:ind w:left="480"/>
      </w:pPr>
      <w:r>
        <w:rPr>
          <w:rFonts w:ascii="Arial" w:cs="Arial" w:eastAsia="Arial" w:hAnsi="Arial"/>
          <w:b/>
          <w:bCs/>
          <w:color w:val="8C2A2A"/>
          <w:sz w:val="16"/>
          <w:szCs w:val="16"/>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 Add the newest one before a panelist finds it: an applicant may now point a skill at the resume file they uploaded, and nothing checks that the file really contains it. What bounds that is the file being sent to the recruiter with the application, so it is a claim they can open and read.</w:t>
      </w:r>
    </w:p>
    <w:p>
      <w:pPr>
        <w:spacing w:after="70" w:line="285"/>
        <w:ind w:left="300" w:hanging="300"/>
      </w:pPr>
      <w:r>
        <w:rPr>
          <w:rFonts w:ascii="Arial" w:cs="Arial" w:eastAsia="Arial" w:hAnsi="Arial"/>
          <w:b/>
          <w:bCs/>
          <w:color w:val="1A1A1A"/>
          <w:sz w:val="18"/>
          <w:szCs w:val="18"/>
        </w:rPr>
        <w:t>ANALYTICAL — WHY</w:t>
      </w:r>
    </w:p>
    <w:p>
      <w:pPr>
        <w:spacing w:after="70" w:line="285"/>
        <w:ind w:left="420" w:hanging="420"/>
      </w:pPr>
      <w:r>
        <w:rPr>
          <w:rFonts w:ascii="Arial" w:cs="Arial" w:eastAsia="Arial" w:hAnsi="Arial"/>
          <w:b/>
          <w:bCs/>
          <w:color w:val="8C2A2A"/>
          <w:sz w:val="19"/>
          <w:szCs w:val="19"/>
        </w:rPr>
        <w:t>Q112c  Why half, and not nothing?</w:t>
      </w:r>
    </w:p>
    <w:p>
      <w:pPr>
        <w:pBdr>
          <w:left w:val="single" w:color="2F5D3A" w:sz="14" w:space="8"/>
        </w:pBdr>
        <w:spacing w:after="110" w:line="292"/>
        <w:ind w:left="480" w:right="140"/>
      </w:pPr>
      <w:r>
        <w:rPr>
          <w:rFonts w:ascii="Arial" w:cs="Arial" w:eastAsia="Arial" w:hAnsi="Arial"/>
          <w:color w:val="1F3D2B"/>
          <w:sz w:val="18"/>
          <w:szCs w:val="18"/>
        </w:rPr>
        <w:t>“Because a skill somebody cannot point at is not a lie.</w:t>
        <w:br/>
        <w:br/>
        <w:t>Plenty of real skills are self-taught, or come from work too small to put on a resume. Scoring those at zero would punish exactly the applicants this study exists to help.</w:t>
        <w:br/>
        <w:br/>
        <w:t>Half is also a value we can explain to an applicant in one sentence. A skill you can point to evidence for counts fully; one you cannot counts half.</w:t>
        <w:br/>
        <w:br/>
        <w:t>And I should be clear about its status. Nought point five is a reasoned choice, not a finding. No data in this study says it is the right number.”</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Q112d  Does this put the applicant’s employer on their resume?</w:t>
      </w:r>
    </w:p>
    <w:p>
      <w:pPr>
        <w:pBdr>
          <w:left w:val="single" w:color="2F5D3A" w:sz="14" w:space="8"/>
        </w:pBdr>
        <w:spacing w:after="110" w:line="292"/>
        <w:ind w:left="480" w:right="140"/>
      </w:pPr>
      <w:r>
        <w:rPr>
          <w:rFonts w:ascii="Arial" w:cs="Arial" w:eastAsia="Arial" w:hAnsi="Arial"/>
          <w:color w:val="1F3D2B"/>
          <w:sz w:val="18"/>
          <w:szCs w:val="18"/>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70" w:line="285"/>
        <w:ind w:left="300" w:hanging="300"/>
      </w:pPr>
      <w:r>
        <w:rPr>
          <w:rFonts w:ascii="Arial" w:cs="Arial" w:eastAsia="Arial" w:hAnsi="Arial"/>
          <w:b/>
          <w:bCs/>
          <w:color w:val="1A1A1A"/>
          <w:sz w:val="18"/>
          <w:szCs w:val="18"/>
        </w:rPr>
        <w:t>COMPARISON</w:t>
      </w:r>
    </w:p>
    <w:p>
      <w:pPr>
        <w:spacing w:after="70" w:line="285"/>
        <w:ind w:left="420" w:hanging="420"/>
      </w:pPr>
      <w:r>
        <w:rPr>
          <w:rFonts w:ascii="Arial" w:cs="Arial" w:eastAsia="Arial" w:hAnsi="Arial"/>
          <w:b/>
          <w:bCs/>
          <w:color w:val="8C2A2A"/>
          <w:sz w:val="19"/>
          <w:szCs w:val="19"/>
        </w:rPr>
        <w:t>Q112e  A commercial system rejects an applicant and says nothing. What does yours say?</w:t>
      </w:r>
    </w:p>
    <w:p>
      <w:pPr>
        <w:pBdr>
          <w:left w:val="single" w:color="2F5D3A" w:sz="14" w:space="8"/>
        </w:pBdr>
        <w:spacing w:after="110" w:line="292"/>
        <w:ind w:left="480" w:right="140"/>
      </w:pPr>
      <w:r>
        <w:rPr>
          <w:rFonts w:ascii="Arial" w:cs="Arial" w:eastAsia="Arial" w:hAnsi="Arial"/>
          <w:color w:val="1F3D2B"/>
          <w:sz w:val="18"/>
          <w:szCs w:val="18"/>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10" w:line="285"/>
        <w:ind w:left="480"/>
      </w:pPr>
      <w:r>
        <w:rPr>
          <w:rFonts w:ascii="Arial" w:cs="Arial" w:eastAsia="Arial" w:hAnsi="Arial"/>
          <w:b/>
          <w:bCs/>
          <w:color w:val="8C2A2A"/>
          <w:sz w:val="16"/>
          <w:szCs w:val="16"/>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 — applied, for scheduling, for initial interview, for testing, shortlisted, final interview &amp; selection, job offer, hired/onboarding, not selected,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aliases → 25 canonical forms; 72.0% coverage of the 25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228 across eleven suites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Credit for an unsourced skill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half — 0.5, published as part of the formula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Rejection reasons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8 codes; the applicant reads the reason, never the staff name</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Reciting the skills component as matched-over-required. It has a second term now — a skill with no named source counts half — and the manuscript’s Chapter 3 still prints the old version.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currently gets a different number from the one on the screen. The corrected section is written out in full in Linaw-PH-Updated-Manuscript-Sections.docx — it is a copy-and-paste, not a rewrite.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72.0% measured, rose from 63.6% at the partner change,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 Agile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twenty-one entities with primary and foreign keys, generated from the schema file</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“Input component five — the matching criteria. They sit alongside the canonical skill vocabulary and the tier thresholds.</w:t>
        <w:br/>
        <w:br/>
        <w:t>They are INPUTS to the process, not outputs of it. That is the honest placement, because WE set them. The system did not derive them from anything.</w:t>
        <w:br/>
        <w:br/>
        <w:t>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 xml:space="preserve">8.2  Figure 2 · Agile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development methodology. Its job at a defense is to demonstrate that Agile governs construction — not your research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“The text was right. The chart was an older image that never got regenerated.</w:t>
        <w:br/>
        <w:br/>
        <w:t>It has now been rebuilt from the timeline paragraph itself, so every span in it is read straight off what the text says.</w:t>
        <w:br/>
        <w:br/>
        <w:t>I would rather tell you that than stand here reconciling two figures that cannot both be correct.</w:t>
        <w:br/>
        <w:br/>
        <w:t>All five figures were regenerated for the same reason, and I can tell you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“It is an ACTOR in the diagram because it is a distinct account type, with permissions no other role has: approving recruiter access, assigning departments, and producing the aggregated metrics.</w:t>
        <w:br/>
        <w:br/>
        <w:t>It is not a RESPONDENT GROUP because it is a governance role we operate ourselves, not an external user.</w:t>
        <w:br/>
        <w:br/>
        <w:t>So its functions are verified through system testing, not through the evaluation. The paper says that rather than leaving the gap unexplained.</w:t>
        <w:br/>
        <w:br/>
        <w:t>One honest note. If a real company adopted this, the role would have to sit inside that organisation —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“Descriptive columns are left out so the relationships stay readable. The resumes table alone has over twenty.</w:t>
        <w:br/>
        <w:br/>
        <w:t>Every primary key and every foreign key IS shown, because those are what the diagram exists to show.</w:t>
        <w:br/>
        <w:br/>
        <w:t>The complete column definitions are in the schema file, and the figure note says so — so nobody mistakes an omission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“match_settings. It sits at the edge of the diagram, with no foreign keys pointing into it.</w:t>
        <w:br/>
        <w:br/>
        <w:t>It holds the weights and the thresholds as ROWS, and the server reads them at startup.</w:t>
        <w:br/>
        <w:br/>
        <w:t>That is why the claim in our Scope is structural rather than a promise. The numbers are data. A partner company, or a later study, can change them without touching the scoring code.</w:t>
        <w:br/>
        <w:br/>
        <w:t>What we do not do is change them DURING this study.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2026-08-11T12:05:15.895Z</dcterms:created>
  <dcterms:modified xsi:type="dcterms:W3CDTF">2026-08-11T12:05:15.911Z</dcterms:modified>
</cp:coreProperties>
</file>

<file path=docProps/custom.xml><?xml version="1.0" encoding="utf-8"?>
<Properties xmlns="http://schemas.openxmlformats.org/officeDocument/2006/custom-properties" xmlns:vt="http://schemas.openxmlformats.org/officeDocument/2006/docPropsVTypes"/>
</file>