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default weights are skills 50 %, education 25 %, experience 25 %, which a recruiter may rebalance per opening;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Eleven automated suites (228 tests) and nine browser walkthroughs also run before the ISO 25010 evaluation; the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weights that default to skills 50 percent, education 25 percent, and experience 25 percent, which a recruiter may rebalance for an individual opening; the weighting an opening uses is shown to every applicant it scores.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default scoring weights (skills 50 percent, education 25 percent, experience 25 percent), adjustable per opening,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 statement of how many required skills are missing from any given match, and of what kind,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Two objectives are new — the administrator account and data protection — and the matching objective now states the default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default weights of 50 percent for skills, 25 percent for education, and 25 percent for experience, which a recruiter may rebalance for an individual opening,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The matching feature is ATS-inspired and rule-based. It compares structured resume data against structured posting requirements using a fixed, transparent,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coefficients 0.50, 0.25 and 0.25 are the default balance; a recruiter may set a different one for an individual opening, provided the three total 100 percent and none falls below 10 percent, and each applicant is scored on the weighting the opening they applied to actually uses.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Fifty-seven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Forty-six tests cover the rule-based document reader against real resume shapes. Eleven tests confirm that every message the system sends is actually delivered — verification and password-reset codes, the recruiter's new-application notice, status changes, job alerts, and interview invitations, including the calendar file attached when a recruiter proposes an interview time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Two hundred and twenty-eight automated tests run in total across eleven suites, the remainder covering file storage, the outgoing mail transport, cross-side integration, the interview calendar file and a four-thousand-case check of the scoring formula,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default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