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because the score compares it on a ladder. And months of experience is a number, not a date range, because the score adds it up.</w:t>
      </w:r>
    </w:p>
    <w:p>
      <w:pPr>
        <w:spacing w:after="120"/>
      </w:pPr>
      <w:r>
        <w:rPr>
          <w:b w:val="0"/>
          <w:i w:val="0"/>
        </w:rPr>
        <w:t>Saying where you used each skill</w:t>
      </w:r>
    </w:p>
    <w:p>
      <w:pPr>
        <w:spacing w:after="120"/>
      </w:pPr>
      <w:r>
        <w:rPr>
          <w:b w:val="0"/>
          <w:i w:val="0"/>
        </w:rP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months of experience — zero is allowed and common for graduate roles.</w:t>
      </w:r>
    </w:p>
    <w:p>
      <w:pPr>
        <w:spacing w:after="120"/>
      </w:pPr>
      <w:r>
        <w:rPr>
          <w:b w:val="0"/>
          <w:i w:val="0"/>
        </w:rPr>
        <w:t>Weights — optionally override the 50/25/25 split for this opening alone, and optionally give a share to certificates, which score nothing until asked for.</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Six statuses: submitted, review, shortlisted, rejected, hired,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six values — submitted, review, shortlisted, rejected, hired,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173 automated tests across eight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8 suites, 205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56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205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