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 xml:space="preserve">ResumeMatch PH</w:t>
      </w:r>
    </w:p>
    <w:p>
      <w:pPr>
        <w:spacing w:after="140"/>
        <w:jc w:val="center"/>
      </w:pPr>
      <w:r>
        <w:rPr>
          <w:b/>
          <w:bCs/>
          <w:color w:val="3D4A5C"/>
          <w:sz w:val="46"/>
          <w:szCs w:val="46"/>
        </w:rPr>
        <w:t xml:space="preserve">Manuscript Guide</w:t>
      </w:r>
    </w:p>
    <w:p>
      <w:pPr>
        <w:spacing w:after="700"/>
        <w:jc w:val="center"/>
      </w:pPr>
      <w:r>
        <w:rPr>
          <w:i/>
          <w:iCs/>
          <w:color w:val="3D4A5C"/>
          <w:sz w:val="24"/>
          <w:szCs w:val="24"/>
        </w:rPr>
        <w:t xml:space="preserve">The paper in plain language</w:t>
      </w:r>
    </w:p>
    <w:p>
      <w:pPr>
        <w:spacing w:after="260"/>
        <w:ind w:left="900" w:right="900"/>
        <w:jc w:val="center"/>
      </w:pPr>
      <w:r>
        <w:rPr>
          <w:sz w:val="20"/>
          <w:szCs w:val="20"/>
        </w:rPr>
        <w:t xml:space="preserve">What each chapter argues, what the instruments measure, which statistics are used and why, and where each claim is proved in the software. For groupmates who need to defend the paper without having written it. About 45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the study claims, and what it does not</w:t>
      </w:r>
    </w:p>
    <w:p>
      <w:r>
        <w:t xml:space="preserve">Be precise about this, because it is the easiest place to overclaim and the easiest place for a panelist to catch you.</w:t>
      </w:r>
    </w:p>
    <w:p>
      <w:pPr>
        <w:pStyle w:val="Heading3"/>
      </w:pPr>
      <w:r>
        <w:t xml:space="preserve">What we claim</w:t>
      </w:r>
    </w:p>
    <w:p>
      <w:pPr>
        <w:pStyle w:val="ListParagraph"/>
        <w:numPr>
          <w:ilvl w:val="0"/>
          <w:numId w:val="2"/>
        </w:numPr>
        <w:spacing w:after="70"/>
      </w:pPr>
      <w:r>
        <w:t xml:space="preserve">We built a working system that scores a resume against an opening using a transparent, fixed formula.</w:t>
      </w:r>
    </w:p>
    <w:p>
      <w:pPr>
        <w:pStyle w:val="ListParagraph"/>
        <w:numPr>
          <w:ilvl w:val="0"/>
          <w:numId w:val="2"/>
        </w:numPr>
        <w:spacing w:after="70"/>
      </w:pPr>
      <w:r>
        <w:t xml:space="preserve">The system shows the applicant how the score was worked out, including which required skills they were missing.</w:t>
      </w:r>
    </w:p>
    <w:p>
      <w:pPr>
        <w:pStyle w:val="ListParagraph"/>
        <w:numPr>
          <w:ilvl w:val="0"/>
          <w:numId w:val="2"/>
        </w:numPr>
        <w:spacing w:after="70"/>
      </w:pPr>
      <w:r>
        <w:t xml:space="preserve">The system never changes an application's status on its own — every change names a human.</w:t>
      </w:r>
    </w:p>
    <w:p>
      <w:pPr>
        <w:pStyle w:val="ListParagraph"/>
        <w:numPr>
          <w:ilvl w:val="0"/>
          <w:numId w:val="2"/>
        </w:numPr>
        <w:spacing w:after="70"/>
      </w:pPr>
      <w:r>
        <w:t xml:space="preserve">Its published constants match the constants in the running code, and automated tests hold them there.</w:t>
      </w:r>
    </w:p>
    <w:p>
      <w:pPr>
        <w:pStyle w:val="ListParagraph"/>
        <w:numPr>
          <w:ilvl w:val="0"/>
          <w:numId w:val="2"/>
        </w:numPr>
        <w:spacing w:after="70"/>
      </w:pPr>
      <w:r>
        <w:t>A skill an applicant cannot account for is worth less than one they can — the builder asks where each skill was used, and a skill with no source counts half.</w:t>
      </w:r>
    </w:p>
    <w:p>
      <w:pPr>
        <w:pStyle w:val="Heading3"/>
      </w:pPr>
      <w:r>
        <w:t xml:space="preserve">What we do not claim</w:t>
      </w:r>
    </w:p>
    <w:p>
      <w:pPr>
        <w:pStyle w:val="ListParagraph"/>
        <w:numPr>
          <w:ilvl w:val="0"/>
          <w:numId w:val="2"/>
        </w:numPr>
        <w:spacing w:after="70"/>
      </w:pPr>
      <w:r>
        <w:t xml:space="preserve">That the 50/25/25 weighting is optimal. It is our stated default, not a finding.</w:t>
      </w:r>
    </w:p>
    <w:p>
      <w:pPr>
        <w:pStyle w:val="ListParagraph"/>
        <w:numPr>
          <w:ilvl w:val="0"/>
          <w:numId w:val="2"/>
        </w:numPr>
        <w:spacing w:after="70"/>
      </w:pPr>
      <w:r>
        <w:t xml:space="preserve">That the score predicts who will be hired. Nothing in the study tests that.</w:t>
      </w:r>
    </w:p>
    <w:p>
      <w:pPr>
        <w:pStyle w:val="ListParagraph"/>
        <w:numPr>
          <w:ilvl w:val="0"/>
          <w:numId w:val="2"/>
        </w:numPr>
        <w:spacing w:after="70"/>
      </w:pPr>
      <w:r>
        <w:t xml:space="preserve">That results generalise beyond the sample. One partner organisation, one region, a small sample.</w:t>
      </w:r>
    </w:p>
    <w:p>
      <w:pPr>
        <w:pStyle w:val="ListParagraph"/>
        <w:numPr>
          <w:ilvl w:val="0"/>
          <w:numId w:val="2"/>
        </w:numPr>
        <w:spacing w:after="70"/>
      </w:pPr>
      <w:r>
        <w:t xml:space="preserve">That the system removes bias from hiring. It makes one step visible; it does not make the process fair.</w:t>
      </w:r>
    </w:p>
    <w:p>
      <w:pPr>
        <w:pStyle w:val="ListParagraph"/>
        <w:numPr>
          <w:ilvl w:val="0"/>
          <w:numId w:val="2"/>
        </w:numPr>
        <w:spacing w:after="70"/>
      </w:pPr>
      <w:r>
        <w:t>That the half-credit rule stops a determined applicant from padding a skills list. It makes padding cost points and makes it visible to the recruiter. It does not prevent it, and the paper should say so in those words.</w:t>
      </w:r>
    </w:p>
    <w:p>
      <w:r>
        <w:t xml:space="preserve">If asked "what have you proven", the honest answer is that the system works as described and the instruments are ready — data collection is what produces findings. Claiming more invites a question you cannot answer.</w:t>
      </w:r>
    </w:p>
    <w:p>
      <w:r>
        <w:br w:type="page"/>
      </w:r>
    </w:p>
    <w:p>
      <w:pPr>
        <w:pStyle w:val="Heading1"/>
      </w:pPr>
      <w:r>
        <w:t xml:space="preserve">2 · Chapter 1 — the problem</w:t>
      </w:r>
    </w:p>
    <w:p>
      <w:r>
        <w:t xml:space="preserve">The argument runs in four steps.</w:t>
      </w:r>
    </w:p>
    <w:p>
      <w:pPr>
        <w:pStyle w:val="ListParagraph"/>
        <w:numPr>
          <w:ilvl w:val="0"/>
          <w:numId w:val="2"/>
        </w:numPr>
        <w:spacing w:after="70"/>
      </w:pPr>
      <w:r>
        <w:rPr>
          <w:b/>
          <w:bCs/>
        </w:rPr>
        <w:t xml:space="preserve">Graduates apply and hear nothing.</w:t>
      </w:r>
      <w:r>
        <w:t xml:space="preserve"> They cannot tell whether a person rejected them or whether their document was never read.</w:t>
      </w:r>
    </w:p>
    <w:p>
      <w:pPr>
        <w:pStyle w:val="ListParagraph"/>
        <w:numPr>
          <w:ilvl w:val="0"/>
          <w:numId w:val="2"/>
        </w:numPr>
        <w:spacing w:after="70"/>
      </w:pPr>
      <w:r>
        <w:rPr>
          <w:b/>
          <w:bCs/>
        </w:rPr>
        <w:t xml:space="preserve">Automated screening is common and invisible.</w:t>
      </w:r>
      <w:r>
        <w:t xml:space="preserve"> Applicants are being filtered by software they cannot see and cannot learn from.</w:t>
      </w:r>
    </w:p>
    <w:p>
      <w:pPr>
        <w:pStyle w:val="ListParagraph"/>
        <w:numPr>
          <w:ilvl w:val="0"/>
          <w:numId w:val="2"/>
        </w:numPr>
        <w:spacing w:after="70"/>
      </w:pPr>
      <w:r>
        <w:rPr>
          <w:b/>
          <w:bCs/>
        </w:rPr>
        <w:t xml:space="preserve">Recruiters have the mirror problem.</w:t>
      </w:r>
      <w:r>
        <w:t xml:space="preserve"> Fifty attachments, no fast way to see who meets the requirements.</w:t>
      </w:r>
    </w:p>
    <w:p>
      <w:pPr>
        <w:pStyle w:val="ListParagraph"/>
        <w:numPr>
          <w:ilvl w:val="0"/>
          <w:numId w:val="2"/>
        </w:numPr>
        <w:spacing w:after="70"/>
      </w:pPr>
      <w:r>
        <w:rPr>
          <w:b/>
          <w:bCs/>
        </w:rPr>
        <w:t xml:space="preserve">So: make one step visible.</w:t>
      </w:r>
      <w:r>
        <w:t xml:space="preserve"> Show the score, show the working, and see whether it helps.</w:t>
      </w:r>
    </w:p>
    <w:p>
      <w:pPr>
        <w:pStyle w:val="Heading2"/>
      </w:pPr>
      <w:r>
        <w:t xml:space="preserve">The research questions</w:t>
      </w:r>
    </w:p>
    <w:p>
      <w:r>
        <w:t xml:space="preserve">Everything downstream — objectives, instruments, statistics — traces back to these. If you can recite them, you can navigate the rest of the paper.</w:t>
      </w:r>
    </w:p>
    <w:p>
      <w:pPr>
        <w:pStyle w:val="ListParagraph"/>
        <w:numPr>
          <w:ilvl w:val="0"/>
          <w:numId w:val="2"/>
        </w:numPr>
        <w:spacing w:after="70"/>
      </w:pPr>
      <w:r>
        <w:t xml:space="preserve">What is the current situation for job seekers and recruiters before using the system?</w:t>
      </w:r>
    </w:p>
    <w:p>
      <w:pPr>
        <w:pStyle w:val="ListParagraph"/>
        <w:numPr>
          <w:ilvl w:val="0"/>
          <w:numId w:val="2"/>
        </w:numPr>
        <w:spacing w:after="70"/>
      </w:pPr>
      <w:r>
        <w:t xml:space="preserve">Does the system change how job seekers understand and approach applying?</w:t>
      </w:r>
    </w:p>
    <w:p>
      <w:pPr>
        <w:pStyle w:val="ListParagraph"/>
        <w:numPr>
          <w:ilvl w:val="0"/>
          <w:numId w:val="2"/>
        </w:numPr>
        <w:spacing w:after="70"/>
      </w:pPr>
      <w:r>
        <w:t xml:space="preserve">Do recruiters find the ranking useful and trustworthy?</w:t>
      </w:r>
    </w:p>
    <w:p>
      <w:pPr>
        <w:pStyle w:val="ListParagraph"/>
        <w:numPr>
          <w:ilvl w:val="0"/>
          <w:numId w:val="2"/>
        </w:numPr>
        <w:spacing w:after="70"/>
      </w:pPr>
      <w:r>
        <w:t xml:space="preserve">How does the system rate on established software-quality characteristics?</w:t>
      </w:r>
    </w:p>
    <w:p>
      <w:pPr>
        <w:pStyle w:val="Heading2"/>
      </w:pPr>
      <w:r>
        <w:t xml:space="preserve">Scope and delimitations</w:t>
      </w:r>
    </w:p>
    <w:p>
      <w:r>
        <w:t xml:space="preserve">State the boundaries before a panelist does. The study is one region, one partner organisation, one sector emphasis, a small sample, and a system tested in a session rather than deployed for months. Long-term outcomes — did anyone actually get hired — are outside it.</w:t>
      </w:r>
    </w:p>
    <w:p>
      <w:r>
        <w:br w:type="page"/>
      </w:r>
    </w:p>
    <w:p>
      <w:pPr>
        <w:pStyle w:val="Heading1"/>
      </w:pPr>
      <w:r>
        <w:t xml:space="preserve">3 · Chapter 2 — related literature</w:t>
      </w:r>
    </w:p>
    <w:p>
      <w:r>
        <w:t xml:space="preserve">The review does three jobs. Know which paragraph is doing which.</w:t>
      </w:r>
    </w:p>
    <w:p>
      <w:pPr>
        <w:pStyle w:val="ListParagraph"/>
        <w:numPr>
          <w:ilvl w:val="0"/>
          <w:numId w:val="2"/>
        </w:numPr>
        <w:spacing w:after="70"/>
      </w:pPr>
      <w:r>
        <w:rPr>
          <w:b/>
          <w:bCs/>
        </w:rPr>
        <w:t xml:space="preserve">Establishes the problem is real</w:t>
      </w:r>
      <w:r>
        <w:t xml:space="preserve"> — graduate underemployment and the mismatch between what graduates have and what employers ask for.</w:t>
      </w:r>
    </w:p>
    <w:p>
      <w:pPr>
        <w:pStyle w:val="ListParagraph"/>
        <w:numPr>
          <w:ilvl w:val="0"/>
          <w:numId w:val="2"/>
        </w:numPr>
        <w:spacing w:after="70"/>
      </w:pPr>
      <w:r>
        <w:rPr>
          <w:b/>
          <w:bCs/>
        </w:rPr>
        <w:t xml:space="preserve">Establishes automated screening is widespread</w:t>
      </w:r>
      <w:r>
        <w:t xml:space="preserve"> — and that applicants have little insight into it.</w:t>
      </w:r>
    </w:p>
    <w:p>
      <w:pPr>
        <w:pStyle w:val="ListParagraph"/>
        <w:numPr>
          <w:ilvl w:val="0"/>
          <w:numId w:val="2"/>
        </w:numPr>
        <w:spacing w:after="70"/>
      </w:pPr>
      <w:r>
        <w:rPr>
          <w:b/>
          <w:bCs/>
        </w:rPr>
        <w:t xml:space="preserve">Establishes what other systems do</w:t>
      </w:r>
      <w:r>
        <w:t xml:space="preserve"> — and where they stop short. Most score; few explain.</w:t>
      </w:r>
    </w:p>
    <w:p>
      <w:pPr>
        <w:pStyle w:val="Heading2"/>
      </w:pPr>
      <w:r>
        <w:t xml:space="preserve">The gap the study occupies</w:t>
      </w:r>
    </w:p>
    <w:p>
      <w:r>
        <w:t xml:space="preserve">Not "nobody has built a resume matcher" — many have. The gap is transparency: systems that show the applicant the working, in a Philippine graduate context, with the formula published rather than proprietary.</w:t>
      </w:r>
    </w:p>
    <w:p>
      <w:pPr>
        <w:pStyle w:val="Heading2"/>
      </w:pPr>
      <w:r>
        <w:t xml:space="preserve">A warning about the reference list</w:t>
      </w:r>
    </w:p>
    <w:p>
      <w:r>
        <w:t xml:space="preserve">If you cite it, you should have read it. A panelist who asks "what did that study find?" about a source nobody in the group has opened is the most avoidable failure in a defense. Divide the reference list among yourselves and read at minimum every source cited in the method chapter.</w:t>
      </w:r>
    </w:p>
    <w:p>
      <w:r>
        <w:br w:type="page"/>
      </w:r>
    </w:p>
    <w:p>
      <w:pPr>
        <w:pStyle w:val="Heading1"/>
      </w:pPr>
      <w:r>
        <w:t xml:space="preserve">4 · Chapter 3 — how the study is run</w:t>
      </w:r>
    </w:p>
    <w:p>
      <w:pPr>
        <w:pStyle w:val="Heading2"/>
      </w:pPr>
      <w:r>
        <w:t xml:space="preserve">Design</w:t>
      </w:r>
    </w:p>
    <w:p>
      <w:r>
        <w:t xml:space="preserve">Quantitative descriptive. Numbers are collected and summarised; the study describes rather than tests a hypothesis about cause. One inferential test is used, with bounded scope, and it is named explicitly rather than smuggled in.</w:t>
      </w:r>
    </w:p>
    <w:p>
      <w:pPr>
        <w:pStyle w:val="Heading2"/>
      </w:pPr>
      <w:r>
        <w:t xml:space="preserve">The five instruments</w:t>
      </w:r>
    </w:p>
    <w:tbl>
      <w:tblPr>
        <w:tblW w:type="dxa" w:w="9360"/>
        <w:tblBorders>
          <w:top w:val="single" w:color="C9CDD4" w:sz="2"/>
          <w:left w:val="none"/>
          <w:bottom w:val="single" w:color="C9CDD4" w:sz="2"/>
          <w:right w:val="none"/>
          <w:insideH w:val="single" w:color="C9CDD4" w:sz="1"/>
          <w:insideV w:val="none"/>
        </w:tblBorders>
      </w:tblPr>
      <w:tblGrid>
        <w:gridCol w:w="3600"/>
        <w:gridCol w:w="1900"/>
        <w:gridCol w:w="2360"/>
        <w:gridCol w:w="1500"/>
      </w:tblGrid>
      <w:tr>
        <w:trPr>
          <w:tblHeader/>
        </w:trPr>
        <w:tc>
          <w:tcPr>
            <w:tcW w:type="dxa" w:w="3600"/>
            <w:shd w:fill="F4F1EA" w:val="clear"/>
            <w:tcMar>
              <w:top w:type="dxa" w:w="90"/>
              <w:left w:type="dxa" w:w="130"/>
              <w:bottom w:type="dxa" w:w="90"/>
              <w:right w:type="dxa" w:w="130"/>
            </w:tcMar>
          </w:tcPr>
          <w:p>
            <w:r>
              <w:rPr>
                <w:b/>
                <w:bCs/>
                <w:sz w:val="19"/>
                <w:szCs w:val="19"/>
              </w:rPr>
              <w:t xml:space="preserve">Instrument</w:t>
            </w:r>
          </w:p>
        </w:tc>
        <w:tc>
          <w:tcPr>
            <w:tcW w:type="dxa" w:w="1900"/>
            <w:shd w:fill="F4F1EA" w:val="clear"/>
            <w:tcMar>
              <w:top w:type="dxa" w:w="90"/>
              <w:left w:type="dxa" w:w="130"/>
              <w:bottom w:type="dxa" w:w="90"/>
              <w:right w:type="dxa" w:w="130"/>
            </w:tcMar>
          </w:tcPr>
          <w:p>
            <w:r>
              <w:rPr>
                <w:b/>
                <w:bCs/>
                <w:sz w:val="19"/>
                <w:szCs w:val="19"/>
              </w:rPr>
              <w:t xml:space="preserve">Who</w:t>
            </w:r>
          </w:p>
        </w:tc>
        <w:tc>
          <w:tcPr>
            <w:tcW w:type="dxa" w:w="2360"/>
            <w:shd w:fill="F4F1EA" w:val="clear"/>
            <w:tcMar>
              <w:top w:type="dxa" w:w="90"/>
              <w:left w:type="dxa" w:w="130"/>
              <w:bottom w:type="dxa" w:w="90"/>
              <w:right w:type="dxa" w:w="130"/>
            </w:tcMar>
          </w:tcPr>
          <w:p>
            <w:r>
              <w:rPr>
                <w:b/>
                <w:bCs/>
                <w:sz w:val="19"/>
                <w:szCs w:val="19"/>
              </w:rPr>
              <w:t xml:space="preserve">When</w:t>
            </w:r>
          </w:p>
        </w:tc>
        <w:tc>
          <w:tcPr>
            <w:tcW w:type="dxa" w:w="1500"/>
            <w:shd w:fill="F4F1EA" w:val="clear"/>
            <w:tcMar>
              <w:top w:type="dxa" w:w="90"/>
              <w:left w:type="dxa" w:w="130"/>
              <w:bottom w:type="dxa" w:w="90"/>
              <w:right w:type="dxa" w:w="130"/>
            </w:tcMar>
          </w:tcPr>
          <w:p>
            <w:r>
              <w:rPr>
                <w:b/>
                <w:bCs/>
                <w:sz w:val="19"/>
                <w:szCs w:val="19"/>
              </w:rPr>
              <w:t xml:space="preserve">Items</w:t>
            </w:r>
          </w:p>
        </w:tc>
      </w:tr>
      <w:tr>
        <w:tc>
          <w:tcPr>
            <w:tcW w:type="dxa" w:w="3600"/>
            <w:tcMar>
              <w:top w:type="dxa" w:w="90"/>
              <w:left w:type="dxa" w:w="130"/>
              <w:bottom w:type="dxa" w:w="90"/>
              <w:right w:type="dxa" w:w="130"/>
            </w:tcMar>
          </w:tcPr>
          <w:p>
            <w:r>
              <w:rPr>
                <w:sz w:val="19"/>
                <w:szCs w:val="19"/>
              </w:rPr>
              <w:t xml:space="preserve">A — Job Seeker Survey, Part 1</w:t>
            </w:r>
          </w:p>
        </w:tc>
        <w:tc>
          <w:tcPr>
            <w:tcW w:type="dxa" w:w="1900"/>
            <w:tcMar>
              <w:top w:type="dxa" w:w="90"/>
              <w:left w:type="dxa" w:w="130"/>
              <w:bottom w:type="dxa" w:w="90"/>
              <w:right w:type="dxa" w:w="130"/>
            </w:tcMar>
          </w:tcPr>
          <w:p>
            <w:r>
              <w:rPr>
                <w:sz w:val="19"/>
                <w:szCs w:val="19"/>
              </w:rPr>
              <w:t xml:space="preserve">Job seekers</w:t>
            </w:r>
          </w:p>
        </w:tc>
        <w:tc>
          <w:tcPr>
            <w:tcW w:type="dxa" w:w="2360"/>
            <w:tcMar>
              <w:top w:type="dxa" w:w="90"/>
              <w:left w:type="dxa" w:w="130"/>
              <w:bottom w:type="dxa" w:w="90"/>
              <w:right w:type="dxa" w:w="130"/>
            </w:tcMar>
          </w:tcPr>
          <w:p>
            <w:r>
              <w:rPr>
                <w:sz w:val="19"/>
                <w:szCs w:val="19"/>
              </w:rPr>
              <w:t xml:space="preserve">Before using the system</w:t>
            </w:r>
          </w:p>
        </w:tc>
        <w:tc>
          <w:tcPr>
            <w:tcW w:type="dxa" w:w="1500"/>
            <w:tcMar>
              <w:top w:type="dxa" w:w="90"/>
              <w:left w:type="dxa" w:w="130"/>
              <w:bottom w:type="dxa" w:w="90"/>
              <w:right w:type="dxa" w:w="130"/>
            </w:tcMar>
          </w:tcPr>
          <w:p>
            <w:r>
              <w:rPr>
                <w:sz w:val="19"/>
                <w:szCs w:val="19"/>
              </w:rPr>
              <w:t xml:space="preserve">23</w:t>
            </w:r>
          </w:p>
        </w:tc>
      </w:tr>
      <w:tr>
        <w:tc>
          <w:tcPr>
            <w:tcW w:type="dxa" w:w="3600"/>
            <w:tcMar>
              <w:top w:type="dxa" w:w="90"/>
              <w:left w:type="dxa" w:w="130"/>
              <w:bottom w:type="dxa" w:w="90"/>
              <w:right w:type="dxa" w:w="130"/>
            </w:tcMar>
          </w:tcPr>
          <w:p>
            <w:r>
              <w:rPr>
                <w:sz w:val="19"/>
                <w:szCs w:val="19"/>
              </w:rPr>
              <w:t xml:space="preserve">B — HR and Recruitment Survey, Part 1</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Before using the system</w:t>
            </w:r>
          </w:p>
        </w:tc>
        <w:tc>
          <w:tcPr>
            <w:tcW w:type="dxa" w:w="1500"/>
            <w:tcMar>
              <w:top w:type="dxa" w:w="90"/>
              <w:left w:type="dxa" w:w="130"/>
              <w:bottom w:type="dxa" w:w="90"/>
              <w:right w:type="dxa" w:w="130"/>
            </w:tcMar>
          </w:tcPr>
          <w:p>
            <w:r>
              <w:rPr>
                <w:sz w:val="19"/>
                <w:szCs w:val="19"/>
              </w:rPr>
              <w:t xml:space="preserve">22</w:t>
            </w:r>
          </w:p>
        </w:tc>
      </w:tr>
      <w:tr>
        <w:tc>
          <w:tcPr>
            <w:tcW w:type="dxa" w:w="3600"/>
            <w:tcMar>
              <w:top w:type="dxa" w:w="90"/>
              <w:left w:type="dxa" w:w="130"/>
              <w:bottom w:type="dxa" w:w="90"/>
              <w:right w:type="dxa" w:w="130"/>
            </w:tcMar>
          </w:tcPr>
          <w:p>
            <w:r>
              <w:rPr>
                <w:sz w:val="19"/>
                <w:szCs w:val="19"/>
              </w:rPr>
              <w:t xml:space="preserve">C — Job Seeker Survey, Part 2</w:t>
            </w:r>
          </w:p>
        </w:tc>
        <w:tc>
          <w:tcPr>
            <w:tcW w:type="dxa" w:w="1900"/>
            <w:tcMar>
              <w:top w:type="dxa" w:w="90"/>
              <w:left w:type="dxa" w:w="130"/>
              <w:bottom w:type="dxa" w:w="90"/>
              <w:right w:type="dxa" w:w="130"/>
            </w:tcMar>
          </w:tcPr>
          <w:p>
            <w:r>
              <w:rPr>
                <w:sz w:val="19"/>
                <w:szCs w:val="19"/>
              </w:rPr>
              <w:t xml:space="preserve">Job seekers</w:t>
            </w:r>
          </w:p>
        </w:tc>
        <w:tc>
          <w:tcPr>
            <w:tcW w:type="dxa" w:w="2360"/>
            <w:tcMar>
              <w:top w:type="dxa" w:w="90"/>
              <w:left w:type="dxa" w:w="130"/>
              <w:bottom w:type="dxa" w:w="90"/>
              <w:right w:type="dxa" w:w="130"/>
            </w:tcMar>
          </w:tcPr>
          <w:p>
            <w:r>
              <w:rPr>
                <w:sz w:val="19"/>
                <w:szCs w:val="19"/>
              </w:rPr>
              <w:t xml:space="preserve">After using the system</w:t>
            </w:r>
          </w:p>
        </w:tc>
        <w:tc>
          <w:tcPr>
            <w:tcW w:type="dxa" w:w="1500"/>
            <w:tcMar>
              <w:top w:type="dxa" w:w="90"/>
              <w:left w:type="dxa" w:w="130"/>
              <w:bottom w:type="dxa" w:w="90"/>
              <w:right w:type="dxa" w:w="130"/>
            </w:tcMar>
          </w:tcPr>
          <w:p>
            <w:r>
              <w:rPr>
                <w:sz w:val="19"/>
                <w:szCs w:val="19"/>
              </w:rPr>
              <w:t xml:space="preserve">39</w:t>
            </w:r>
          </w:p>
        </w:tc>
      </w:tr>
      <w:tr>
        <w:tc>
          <w:tcPr>
            <w:tcW w:type="dxa" w:w="3600"/>
            <w:tcMar>
              <w:top w:type="dxa" w:w="90"/>
              <w:left w:type="dxa" w:w="130"/>
              <w:bottom w:type="dxa" w:w="90"/>
              <w:right w:type="dxa" w:w="130"/>
            </w:tcMar>
          </w:tcPr>
          <w:p>
            <w:r>
              <w:rPr>
                <w:sz w:val="19"/>
                <w:szCs w:val="19"/>
              </w:rPr>
              <w:t xml:space="preserve">D — HR and Recruitment Survey, Part 2</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After using the system</w:t>
            </w:r>
          </w:p>
        </w:tc>
        <w:tc>
          <w:tcPr>
            <w:tcW w:type="dxa" w:w="1500"/>
            <w:tcMar>
              <w:top w:type="dxa" w:w="90"/>
              <w:left w:type="dxa" w:w="130"/>
              <w:bottom w:type="dxa" w:w="90"/>
              <w:right w:type="dxa" w:w="130"/>
            </w:tcMar>
          </w:tcPr>
          <w:p>
            <w:r>
              <w:rPr>
                <w:sz w:val="19"/>
                <w:szCs w:val="19"/>
              </w:rPr>
              <w:t xml:space="preserve">28</w:t>
            </w:r>
          </w:p>
        </w:tc>
      </w:tr>
      <w:tr>
        <w:tc>
          <w:tcPr>
            <w:tcW w:type="dxa" w:w="3600"/>
            <w:tcMar>
              <w:top w:type="dxa" w:w="90"/>
              <w:left w:type="dxa" w:w="130"/>
              <w:bottom w:type="dxa" w:w="90"/>
              <w:right w:type="dxa" w:w="130"/>
            </w:tcMar>
          </w:tcPr>
          <w:p>
            <w:r>
              <w:rPr>
                <w:sz w:val="19"/>
                <w:szCs w:val="19"/>
              </w:rPr>
              <w:t xml:space="preserve">E — Ranking</w:t>
            </w:r>
          </w:p>
        </w:tc>
        <w:tc>
          <w:tcPr>
            <w:tcW w:type="dxa" w:w="1900"/>
            <w:tcMar>
              <w:top w:type="dxa" w:w="90"/>
              <w:left w:type="dxa" w:w="130"/>
              <w:bottom w:type="dxa" w:w="90"/>
              <w:right w:type="dxa" w:w="130"/>
            </w:tcMar>
          </w:tcPr>
          <w:p>
            <w:r>
              <w:rPr>
                <w:sz w:val="19"/>
                <w:szCs w:val="19"/>
              </w:rPr>
              <w:t xml:space="preserve">Recruiters</w:t>
            </w:r>
          </w:p>
        </w:tc>
        <w:tc>
          <w:tcPr>
            <w:tcW w:type="dxa" w:w="2360"/>
            <w:tcMar>
              <w:top w:type="dxa" w:w="90"/>
              <w:left w:type="dxa" w:w="130"/>
              <w:bottom w:type="dxa" w:w="90"/>
              <w:right w:type="dxa" w:w="130"/>
            </w:tcMar>
          </w:tcPr>
          <w:p>
            <w:r>
              <w:rPr>
                <w:sz w:val="19"/>
                <w:szCs w:val="19"/>
              </w:rPr>
              <w:t xml:space="preserve">Straight after D, same session</w:t>
            </w:r>
          </w:p>
        </w:tc>
        <w:tc>
          <w:tcPr>
            <w:tcW w:type="dxa" w:w="1500"/>
            <w:tcMar>
              <w:top w:type="dxa" w:w="90"/>
              <w:left w:type="dxa" w:w="130"/>
              <w:bottom w:type="dxa" w:w="90"/>
              <w:right w:type="dxa" w:w="130"/>
            </w:tcMar>
          </w:tcPr>
          <w:p>
            <w:r>
              <w:rPr>
                <w:sz w:val="19"/>
                <w:szCs w:val="19"/>
              </w:rPr>
              <w:t xml:space="preserve">5</w:t>
            </w:r>
          </w:p>
        </w:tc>
      </w:tr>
    </w:tbl>
    <w:p>
      <w:r>
        <w:t xml:space="preserve">117 items in total. All rated items use the same five-point agreement scale, and that scale is fixed before any data is collected — a scale adjusted once the numbers are in is not a scale, it is a conclusion.</w:t>
      </w:r>
    </w:p>
    <w:p>
      <w:pPr>
        <w:pStyle w:val="Heading3"/>
      </w:pPr>
      <w:r>
        <w:t xml:space="preserve">Every item is closed</w:t>
      </w:r>
    </w:p>
    <w:p>
      <w:r>
        <w:t xml:space="preserve">No item asks the respondent to write in their own words. That is deliberate, and it has a cost the paper states under Limitations: a respondent who hits a problem the researchers did not anticipate has no way to tell you about it. The pilot test is the only stage at which an unanticipated issue can still enter the instrument.</w:t>
      </w:r>
    </w:p>
    <w:p>
      <w:pPr>
        <w:pStyle w:val="Heading3"/>
      </w:pPr>
      <w:r>
        <w:t xml:space="preserve">The four paired items — know these</w:t>
      </w:r>
    </w:p>
    <w:p>
      <w:r>
        <w:t xml:space="preserve">Four items in Instrument C repeat items 13, 16, 19 and 21 of Instrument A word for word. They are the only items asked twice, and they exist so the change in each respondent's own answer can be measured rather than inferred.</w:t>
      </w:r>
    </w:p>
    <w:p>
      <w:r>
        <w:t xml:space="preserve">One of them is worded negatively, exactly as its original is: </w:t>
      </w:r>
      <w:r>
        <w:rPr>
          <w:i/>
          <w:iCs/>
        </w:rPr>
        <w:t xml:space="preserve">"I cannot tell whether a company's computer system will read my resume correctly."</w:t>
      </w:r>
      <w:r>
        <w:t xml:space="preserve"> Agreement means the respondent still cannot tell — so an improvement shows as a </w:t>
      </w:r>
      <w:r>
        <w:rPr>
          <w:b/>
          <w:bCs/>
        </w:rPr>
        <w:t xml:space="preserve">LOWER</w:t>
      </w:r>
      <w:r>
        <w:t xml:space="preserve"> answer, not a higher one. If you report that pair as "the mean went down, so the system did not help", you have it exactly backwards.</w:t>
      </w:r>
    </w:p>
    <w:p>
      <w:r>
        <w:t xml:space="preserve">These four must stay word-for-word identical to their originals. A paired item that is not identical measures nothing.</w:t>
      </w:r>
    </w:p>
    <w:p>
      <w:pPr>
        <w:pStyle w:val="Heading3"/>
      </w:pPr>
      <w:r>
        <w:t xml:space="preserve">Which items are averaged, and which are not</w:t>
      </w:r>
    </w:p>
    <w:p>
      <w:r>
        <w:t xml:space="preserve">In Instruments C and D each rated item is labelled with the software-quality characteristic it belongs to, and only those items enter that characteristic's mean. Some items are reported as a distribution and deliberately kept out of every mean — several are worded so that agreement is a bad result. Averaging those in with the quality items would produce a number that means nothing.</w:t>
      </w:r>
    </w:p>
    <w:p>
      <w:pPr>
        <w:pStyle w:val="Heading2"/>
      </w:pPr>
      <w:r>
        <w:t xml:space="preserve">The System Usability Scale</w:t>
      </w:r>
    </w:p>
    <w:p>
      <w:r>
        <w:t xml:space="preserve">The only published instrument in the study, reproduced without alteration. Its wording must not be edited: changing an item forfeits the published norms that are the entire reason for including it. Odd items are positive and even items negative on purpose — that alternation is part of the instrument. It is scored on its own 0 to 100 scale and never averaged with the other items.</w:t>
      </w:r>
    </w:p>
    <w:p>
      <w:r>
        <w:br w:type="page"/>
      </w:r>
    </w:p>
    <w:p>
      <w:pPr>
        <w:pStyle w:val="Heading1"/>
      </w:pPr>
      <w:r>
        <w:t xml:space="preserve">5 · The statistics, and what each one is for</w:t>
      </w:r>
    </w:p>
    <w:tbl>
      <w:tblPr>
        <w:tblW w:type="dxa" w:w="9360"/>
        <w:tblBorders>
          <w:top w:val="single" w:color="C9CDD4" w:sz="2"/>
          <w:left w:val="none"/>
          <w:bottom w:val="single" w:color="C9CDD4" w:sz="2"/>
          <w:right w:val="none"/>
          <w:insideH w:val="single" w:color="C9CDD4" w:sz="1"/>
          <w:insideV w:val="none"/>
        </w:tblBorders>
      </w:tblPr>
      <w:tblGrid>
        <w:gridCol w:w="2200"/>
        <w:gridCol w:w="2400"/>
        <w:gridCol w:w="4760"/>
      </w:tblGrid>
      <w:tr>
        <w:trPr>
          <w:tblHeader/>
        </w:trPr>
        <w:tc>
          <w:tcPr>
            <w:tcW w:type="dxa" w:w="2200"/>
            <w:shd w:fill="F4F1EA" w:val="clear"/>
            <w:tcMar>
              <w:top w:type="dxa" w:w="90"/>
              <w:left w:type="dxa" w:w="130"/>
              <w:bottom w:type="dxa" w:w="90"/>
              <w:right w:type="dxa" w:w="130"/>
            </w:tcMar>
          </w:tcPr>
          <w:p>
            <w:r>
              <w:rPr>
                <w:b/>
                <w:bCs/>
                <w:sz w:val="19"/>
                <w:szCs w:val="19"/>
              </w:rPr>
              <w:t xml:space="preserve">Statistic</w:t>
            </w:r>
          </w:p>
        </w:tc>
        <w:tc>
          <w:tcPr>
            <w:tcW w:type="dxa" w:w="2400"/>
            <w:shd w:fill="F4F1EA" w:val="clear"/>
            <w:tcMar>
              <w:top w:type="dxa" w:w="90"/>
              <w:left w:type="dxa" w:w="130"/>
              <w:bottom w:type="dxa" w:w="90"/>
              <w:right w:type="dxa" w:w="130"/>
            </w:tcMar>
          </w:tcPr>
          <w:p>
            <w:r>
              <w:rPr>
                <w:b/>
                <w:bCs/>
                <w:sz w:val="19"/>
                <w:szCs w:val="19"/>
              </w:rPr>
              <w:t xml:space="preserve">Used for</w:t>
            </w:r>
          </w:p>
        </w:tc>
        <w:tc>
          <w:tcPr>
            <w:tcW w:type="dxa" w:w="4760"/>
            <w:shd w:fill="F4F1EA" w:val="clear"/>
            <w:tcMar>
              <w:top w:type="dxa" w:w="90"/>
              <w:left w:type="dxa" w:w="130"/>
              <w:bottom w:type="dxa" w:w="90"/>
              <w:right w:type="dxa" w:w="130"/>
            </w:tcMar>
          </w:tcPr>
          <w:p>
            <w:r>
              <w:rPr>
                <w:b/>
                <w:bCs/>
                <w:sz w:val="19"/>
                <w:szCs w:val="19"/>
              </w:rPr>
              <w:t xml:space="preserve">What it tells you</w:t>
            </w:r>
          </w:p>
        </w:tc>
      </w:tr>
      <w:tr>
        <w:tc>
          <w:tcPr>
            <w:tcW w:type="dxa" w:w="2200"/>
            <w:tcMar>
              <w:top w:type="dxa" w:w="90"/>
              <w:left w:type="dxa" w:w="130"/>
              <w:bottom w:type="dxa" w:w="90"/>
              <w:right w:type="dxa" w:w="130"/>
            </w:tcMar>
          </w:tcPr>
          <w:p>
            <w:r>
              <w:rPr>
                <w:sz w:val="19"/>
                <w:szCs w:val="19"/>
              </w:rPr>
              <w:t xml:space="preserve">Weighted mean</w:t>
            </w:r>
          </w:p>
        </w:tc>
        <w:tc>
          <w:tcPr>
            <w:tcW w:type="dxa" w:w="2400"/>
            <w:tcMar>
              <w:top w:type="dxa" w:w="90"/>
              <w:left w:type="dxa" w:w="130"/>
              <w:bottom w:type="dxa" w:w="90"/>
              <w:right w:type="dxa" w:w="130"/>
            </w:tcMar>
          </w:tcPr>
          <w:p>
            <w:r>
              <w:rPr>
                <w:sz w:val="19"/>
                <w:szCs w:val="19"/>
              </w:rPr>
              <w:t xml:space="preserve">Rated items</w:t>
            </w:r>
          </w:p>
        </w:tc>
        <w:tc>
          <w:tcPr>
            <w:tcW w:type="dxa" w:w="4760"/>
            <w:tcMar>
              <w:top w:type="dxa" w:w="90"/>
              <w:left w:type="dxa" w:w="130"/>
              <w:bottom w:type="dxa" w:w="90"/>
              <w:right w:type="dxa" w:w="130"/>
            </w:tcMar>
          </w:tcPr>
          <w:p>
            <w:r>
              <w:rPr>
                <w:sz w:val="19"/>
                <w:szCs w:val="19"/>
              </w:rPr>
              <w:t xml:space="preserve">The average level of agreement</w:t>
            </w:r>
          </w:p>
        </w:tc>
      </w:tr>
      <w:tr>
        <w:tc>
          <w:tcPr>
            <w:tcW w:type="dxa" w:w="2200"/>
            <w:tcMar>
              <w:top w:type="dxa" w:w="90"/>
              <w:left w:type="dxa" w:w="130"/>
              <w:bottom w:type="dxa" w:w="90"/>
              <w:right w:type="dxa" w:w="130"/>
            </w:tcMar>
          </w:tcPr>
          <w:p>
            <w:r>
              <w:rPr>
                <w:sz w:val="19"/>
                <w:szCs w:val="19"/>
              </w:rPr>
              <w:t xml:space="preserve">Standard deviation</w:t>
            </w:r>
          </w:p>
        </w:tc>
        <w:tc>
          <w:tcPr>
            <w:tcW w:type="dxa" w:w="2400"/>
            <w:tcMar>
              <w:top w:type="dxa" w:w="90"/>
              <w:left w:type="dxa" w:w="130"/>
              <w:bottom w:type="dxa" w:w="90"/>
              <w:right w:type="dxa" w:w="130"/>
            </w:tcMar>
          </w:tcPr>
          <w:p>
            <w:r>
              <w:rPr>
                <w:sz w:val="19"/>
                <w:szCs w:val="19"/>
              </w:rPr>
              <w:t xml:space="preserve">Rated items</w:t>
            </w:r>
          </w:p>
        </w:tc>
        <w:tc>
          <w:tcPr>
            <w:tcW w:type="dxa" w:w="4760"/>
            <w:tcMar>
              <w:top w:type="dxa" w:w="90"/>
              <w:left w:type="dxa" w:w="130"/>
              <w:bottom w:type="dxa" w:w="90"/>
              <w:right w:type="dxa" w:w="130"/>
            </w:tcMar>
          </w:tcPr>
          <w:p>
            <w:r>
              <w:rPr>
                <w:sz w:val="19"/>
                <w:szCs w:val="19"/>
              </w:rPr>
              <w:t xml:space="preserve">Whether people agreed with each other</w:t>
            </w:r>
          </w:p>
        </w:tc>
      </w:tr>
      <w:tr>
        <w:tc>
          <w:tcPr>
            <w:tcW w:type="dxa" w:w="2200"/>
            <w:tcMar>
              <w:top w:type="dxa" w:w="90"/>
              <w:left w:type="dxa" w:w="130"/>
              <w:bottom w:type="dxa" w:w="90"/>
              <w:right w:type="dxa" w:w="130"/>
            </w:tcMar>
          </w:tcPr>
          <w:p>
            <w:r>
              <w:rPr>
                <w:sz w:val="19"/>
                <w:szCs w:val="19"/>
              </w:rPr>
              <w:t xml:space="preserve">Wilcoxon signed-rank</w:t>
            </w:r>
          </w:p>
        </w:tc>
        <w:tc>
          <w:tcPr>
            <w:tcW w:type="dxa" w:w="2400"/>
            <w:tcMar>
              <w:top w:type="dxa" w:w="90"/>
              <w:left w:type="dxa" w:w="130"/>
              <w:bottom w:type="dxa" w:w="90"/>
              <w:right w:type="dxa" w:w="130"/>
            </w:tcMar>
          </w:tcPr>
          <w:p>
            <w:r>
              <w:rPr>
                <w:sz w:val="19"/>
                <w:szCs w:val="19"/>
              </w:rPr>
              <w:t xml:space="preserve">The four paired items</w:t>
            </w:r>
          </w:p>
        </w:tc>
        <w:tc>
          <w:tcPr>
            <w:tcW w:type="dxa" w:w="4760"/>
            <w:tcMar>
              <w:top w:type="dxa" w:w="90"/>
              <w:left w:type="dxa" w:w="130"/>
              <w:bottom w:type="dxa" w:w="90"/>
              <w:right w:type="dxa" w:w="130"/>
            </w:tcMar>
          </w:tcPr>
          <w:p>
            <w:r>
              <w:rPr>
                <w:sz w:val="19"/>
                <w:szCs w:val="19"/>
              </w:rPr>
              <w:t xml:space="preserve">Whether each respondent's own answer moved</w:t>
            </w:r>
          </w:p>
        </w:tc>
      </w:tr>
      <w:tr>
        <w:tc>
          <w:tcPr>
            <w:tcW w:type="dxa" w:w="2200"/>
            <w:tcMar>
              <w:top w:type="dxa" w:w="90"/>
              <w:left w:type="dxa" w:w="130"/>
              <w:bottom w:type="dxa" w:w="90"/>
              <w:right w:type="dxa" w:w="130"/>
            </w:tcMar>
          </w:tcPr>
          <w:p>
            <w:r>
              <w:rPr>
                <w:sz w:val="19"/>
                <w:szCs w:val="19"/>
              </w:rPr>
              <w:t xml:space="preserve">System Usability Scale</w:t>
            </w:r>
          </w:p>
        </w:tc>
        <w:tc>
          <w:tcPr>
            <w:tcW w:type="dxa" w:w="2400"/>
            <w:tcMar>
              <w:top w:type="dxa" w:w="90"/>
              <w:left w:type="dxa" w:w="130"/>
              <w:bottom w:type="dxa" w:w="90"/>
              <w:right w:type="dxa" w:w="130"/>
            </w:tcMar>
          </w:tcPr>
          <w:p>
            <w:r>
              <w:rPr>
                <w:sz w:val="19"/>
                <w:szCs w:val="19"/>
              </w:rPr>
              <w:t xml:space="preserve">Usability</w:t>
            </w:r>
          </w:p>
        </w:tc>
        <w:tc>
          <w:tcPr>
            <w:tcW w:type="dxa" w:w="4760"/>
            <w:tcMar>
              <w:top w:type="dxa" w:w="90"/>
              <w:left w:type="dxa" w:w="130"/>
              <w:bottom w:type="dxa" w:w="90"/>
              <w:right w:type="dxa" w:w="130"/>
            </w:tcMar>
          </w:tcPr>
          <w:p>
            <w:r>
              <w:rPr>
                <w:sz w:val="19"/>
                <w:szCs w:val="19"/>
              </w:rPr>
              <w:t xml:space="preserve">A 0–100 score comparable to published norms</w:t>
            </w:r>
          </w:p>
        </w:tc>
      </w:tr>
      <w:tr>
        <w:tc>
          <w:tcPr>
            <w:tcW w:type="dxa" w:w="2200"/>
            <w:tcMar>
              <w:top w:type="dxa" w:w="90"/>
              <w:left w:type="dxa" w:w="130"/>
              <w:bottom w:type="dxa" w:w="90"/>
              <w:right w:type="dxa" w:w="130"/>
            </w:tcMar>
          </w:tcPr>
          <w:p>
            <w:r>
              <w:rPr>
                <w:sz w:val="19"/>
                <w:szCs w:val="19"/>
              </w:rPr>
              <w:t xml:space="preserve">Spearman's rho</w:t>
            </w:r>
          </w:p>
        </w:tc>
        <w:tc>
          <w:tcPr>
            <w:tcW w:type="dxa" w:w="2400"/>
            <w:tcMar>
              <w:top w:type="dxa" w:w="90"/>
              <w:left w:type="dxa" w:w="130"/>
              <w:bottom w:type="dxa" w:w="90"/>
              <w:right w:type="dxa" w:w="130"/>
            </w:tcMar>
          </w:tcPr>
          <w:p>
            <w:r>
              <w:rPr>
                <w:sz w:val="19"/>
                <w:szCs w:val="19"/>
              </w:rPr>
              <w:t xml:space="preserve">Two ranked lists</w:t>
            </w:r>
          </w:p>
        </w:tc>
        <w:tc>
          <w:tcPr>
            <w:tcW w:type="dxa" w:w="4760"/>
            <w:tcMar>
              <w:top w:type="dxa" w:w="90"/>
              <w:left w:type="dxa" w:w="130"/>
              <w:bottom w:type="dxa" w:w="90"/>
              <w:right w:type="dxa" w:w="130"/>
            </w:tcMar>
          </w:tcPr>
          <w:p>
            <w:r>
              <w:rPr>
                <w:sz w:val="19"/>
                <w:szCs w:val="19"/>
              </w:rPr>
              <w:t xml:space="preserve">How closely the system's ranking agrees with a recruiter's</w:t>
            </w:r>
          </w:p>
        </w:tc>
      </w:tr>
      <w:tr>
        <w:tc>
          <w:tcPr>
            <w:tcW w:type="dxa" w:w="2200"/>
            <w:tcMar>
              <w:top w:type="dxa" w:w="90"/>
              <w:left w:type="dxa" w:w="130"/>
              <w:bottom w:type="dxa" w:w="90"/>
              <w:right w:type="dxa" w:w="130"/>
            </w:tcMar>
          </w:tcPr>
          <w:p>
            <w:r>
              <w:rPr>
                <w:sz w:val="19"/>
                <w:szCs w:val="19"/>
              </w:rPr>
              <w:t xml:space="preserve">Cronbach's alpha</w:t>
            </w:r>
          </w:p>
        </w:tc>
        <w:tc>
          <w:tcPr>
            <w:tcW w:type="dxa" w:w="2400"/>
            <w:tcMar>
              <w:top w:type="dxa" w:w="90"/>
              <w:left w:type="dxa" w:w="130"/>
              <w:bottom w:type="dxa" w:w="90"/>
              <w:right w:type="dxa" w:w="130"/>
            </w:tcMar>
          </w:tcPr>
          <w:p>
            <w:r>
              <w:rPr>
                <w:sz w:val="19"/>
                <w:szCs w:val="19"/>
              </w:rPr>
              <w:t xml:space="preserve">Groups of items</w:t>
            </w:r>
          </w:p>
        </w:tc>
        <w:tc>
          <w:tcPr>
            <w:tcW w:type="dxa" w:w="4760"/>
            <w:tcMar>
              <w:top w:type="dxa" w:w="90"/>
              <w:left w:type="dxa" w:w="130"/>
              <w:bottom w:type="dxa" w:w="90"/>
              <w:right w:type="dxa" w:w="130"/>
            </w:tcMar>
          </w:tcPr>
          <w:p>
            <w:r>
              <w:rPr>
                <w:sz w:val="19"/>
                <w:szCs w:val="19"/>
              </w:rPr>
              <w:t xml:space="preserve">Whether items meant to measure one thing hang together</w:t>
            </w:r>
          </w:p>
        </w:tc>
      </w:tr>
    </w:tbl>
    <w:p>
      <w:pPr>
        <w:pStyle w:val="Heading2"/>
      </w:pPr>
      <w:r>
        <w:t xml:space="preserve">Why Wilcoxon and not a t-test</w:t>
      </w:r>
    </w:p>
    <w:p>
      <w:r>
        <w:t xml:space="preserve">Two reasons, and you should give both. The data are ordinal — the distance from "agree" to "strongly agree" is not known to equal the distance from "neutral" to "agree" — and the sample is small, so a test that does not assume a normal distribution is the safer choice.</w:t>
      </w:r>
    </w:p>
    <w:p>
      <w:r>
        <w:t xml:space="preserve">Say what it can and cannot show. It answers whether each respondent's own answer moved and in which direction. It does not tell you the system caused the change: there is no control group, so anything else that happened during the session is uncontrolled.</w:t>
      </w:r>
    </w:p>
    <w:p>
      <w:r>
        <w:t xml:space="preserve">And if it returns no significant difference, report that as </w:t>
      </w:r>
      <w:r>
        <w:rPr>
          <w:i/>
          <w:iCs/>
        </w:rPr>
        <w:t xml:space="preserve">a difference not detected at this sample size</w:t>
      </w:r>
      <w:r>
        <w:t xml:space="preserve"> — not as evidence that no change occurred. Those are different statements, and the paper says so explicitly.</w:t>
      </w:r>
    </w:p>
    <w:p>
      <w:pPr>
        <w:pStyle w:val="Heading2"/>
      </w:pPr>
      <w:r>
        <w:t xml:space="preserve">Why Spearman and not a correlation of scores</w:t>
      </w:r>
    </w:p>
    <w:p>
      <w:r>
        <w:t xml:space="preserve">Instrument E gives recruiters five prepared resumes and asks them to rank them. Spearman compares that ranking to the system's. It uses positions, not values, which is right here: what matters is whether the system puts the same people near the top, not whether it agrees on the exact number.</w:t>
      </w:r>
    </w:p>
    <w:p>
      <w:pPr>
        <w:pStyle w:val="Heading2"/>
      </w:pPr>
      <w:r>
        <w:t xml:space="preserve">Cronbach's alpha — read it correctly</w:t>
      </w:r>
    </w:p>
    <w:p>
      <w:r>
        <w:t xml:space="preserve">It says whether items intended to measure one characteristic actually behave as a group. High alpha means the items are consistent with one another. It does not mean they measure the right thing, and it does not mean the system is good. It is a property of the instrument, not a finding about the software.</w:t>
      </w:r>
    </w:p>
    <w:p>
      <w:r>
        <w:br w:type="page"/>
      </w:r>
    </w:p>
    <w:p>
      <w:pPr>
        <w:pStyle w:val="Heading1"/>
      </w:pPr>
      <w:r>
        <w:t xml:space="preserve">6 · Chapter 4 — results</w:t>
      </w:r>
    </w:p>
    <w:p>
      <w:r>
        <w:t xml:space="preserve">Until data is collected this chapter is a structure, not a set of findings. Know the structure, so you can say what will go where.</w:t>
      </w:r>
    </w:p>
    <w:p>
      <w:pPr>
        <w:pStyle w:val="ListParagraph"/>
        <w:numPr>
          <w:ilvl w:val="0"/>
          <w:numId w:val="2"/>
        </w:numPr>
        <w:spacing w:after="70"/>
      </w:pPr>
      <w:r>
        <w:t xml:space="preserve">The current situation, from Instruments A and B — what job seekers and recruiters said before using anything.</w:t>
      </w:r>
    </w:p>
    <w:p>
      <w:pPr>
        <w:pStyle w:val="ListParagraph"/>
        <w:numPr>
          <w:ilvl w:val="0"/>
          <w:numId w:val="2"/>
        </w:numPr>
        <w:spacing w:after="70"/>
      </w:pPr>
      <w:r>
        <w:t xml:space="preserve">What changed, from the paired items — the Wilcoxon results, direction stated per pair.</w:t>
      </w:r>
    </w:p>
    <w:p>
      <w:pPr>
        <w:pStyle w:val="ListParagraph"/>
        <w:numPr>
          <w:ilvl w:val="0"/>
          <w:numId w:val="2"/>
        </w:numPr>
        <w:spacing w:after="70"/>
      </w:pPr>
      <w:r>
        <w:t xml:space="preserve">What recruiters thought, from Instruments D and E — usefulness, trust, and the ranking agreement.</w:t>
      </w:r>
    </w:p>
    <w:p>
      <w:pPr>
        <w:pStyle w:val="ListParagraph"/>
        <w:numPr>
          <w:ilvl w:val="0"/>
          <w:numId w:val="2"/>
        </w:numPr>
        <w:spacing w:after="70"/>
      </w:pPr>
      <w:r>
        <w:t xml:space="preserve">Software quality, from the labelled items — one mean per characteristic, plus the distributions that are deliberately not averaged.</w:t>
      </w:r>
    </w:p>
    <w:p>
      <w:pPr>
        <w:pStyle w:val="ListParagraph"/>
        <w:numPr>
          <w:ilvl w:val="0"/>
          <w:numId w:val="2"/>
        </w:numPr>
        <w:spacing w:after="70"/>
      </w:pPr>
      <w:r>
        <w:t xml:space="preserve">Usability, from the System Usability Scale — one number, compared to the published norm.</w:t>
      </w:r>
    </w:p>
    <w:p>
      <w:pPr>
        <w:pStyle w:val="Heading2"/>
      </w:pPr>
      <w:r>
        <w:t xml:space="preserve">Two traps when writing this chapter</w:t>
      </w:r>
    </w:p>
    <w:p>
      <w:pPr>
        <w:pStyle w:val="ListParagraph"/>
        <w:numPr>
          <w:ilvl w:val="0"/>
          <w:numId w:val="2"/>
        </w:numPr>
        <w:spacing w:after="70"/>
      </w:pPr>
      <w:r>
        <w:rPr>
          <w:b/>
          <w:bCs/>
        </w:rPr>
        <w:t xml:space="preserve">Do not average what the instrument says not to average.</w:t>
      </w:r>
      <w:r>
        <w:t xml:space="preserve"> The items marked as distributions stay distributions.</w:t>
      </w:r>
    </w:p>
    <w:p>
      <w:pPr>
        <w:pStyle w:val="ListParagraph"/>
        <w:numPr>
          <w:ilvl w:val="0"/>
          <w:numId w:val="2"/>
        </w:numPr>
        <w:spacing w:after="70"/>
      </w:pPr>
      <w:r>
        <w:rPr>
          <w:b/>
          <w:bCs/>
        </w:rPr>
        <w:t xml:space="preserve">Do not report the negatively worded paired item as though higher is better.</w:t>
      </w:r>
      <w:r>
        <w:t xml:space="preserve"> Check the direction on every pair before writing a sentence about it.</w:t>
      </w:r>
    </w:p>
    <w:p>
      <w:r>
        <w:br w:type="page"/>
      </w:r>
    </w:p>
    <w:p>
      <w:pPr>
        <w:pStyle w:val="Heading1"/>
      </w:pPr>
      <w:r>
        <w:t xml:space="preserve">7 · Chapter 5 — conclusions and limitations</w:t>
      </w:r>
    </w:p>
    <w:p>
      <w:r>
        <w:t xml:space="preserve">The limitations section is not an apology. It is where you demonstrate you understand your own study, and a panel reads it closely.</w:t>
      </w:r>
    </w:p>
    <w:p>
      <w:pPr>
        <w:pStyle w:val="Heading2"/>
      </w:pPr>
      <w:r>
        <w:t xml:space="preserve">The limitations that matter</w:t>
      </w:r>
    </w:p>
    <w:p>
      <w:pPr>
        <w:pStyle w:val="ListParagraph"/>
        <w:numPr>
          <w:ilvl w:val="0"/>
          <w:numId w:val="2"/>
        </w:numPr>
        <w:spacing w:after="70"/>
      </w:pPr>
      <w:r>
        <w:rPr>
          <w:b/>
          <w:bCs/>
        </w:rPr>
        <w:t xml:space="preserve">No control group.</w:t>
      </w:r>
      <w:r>
        <w:t xml:space="preserve"> Everyone uses the system. Any change over a session cannot be attributed to it alone.</w:t>
      </w:r>
    </w:p>
    <w:p>
      <w:pPr>
        <w:pStyle w:val="ListParagraph"/>
        <w:numPr>
          <w:ilvl w:val="0"/>
          <w:numId w:val="2"/>
        </w:numPr>
        <w:spacing w:after="70"/>
      </w:pPr>
      <w:r>
        <w:rPr>
          <w:b/>
          <w:bCs/>
        </w:rPr>
        <w:t xml:space="preserve">Small sample, one region, one partner.</w:t>
      </w:r>
      <w:r>
        <w:t xml:space="preserve"> Findings describe these participants.</w:t>
      </w:r>
    </w:p>
    <w:p>
      <w:pPr>
        <w:pStyle w:val="ListParagraph"/>
        <w:numPr>
          <w:ilvl w:val="0"/>
          <w:numId w:val="2"/>
        </w:numPr>
        <w:spacing w:after="70"/>
      </w:pPr>
      <w:r>
        <w:rPr>
          <w:b/>
          <w:bCs/>
        </w:rPr>
        <w:t xml:space="preserve">Self-report.</w:t>
      </w:r>
      <w:r>
        <w:t xml:space="preserve"> Confidence and perceived usefulness are what people say, not what they do.</w:t>
      </w:r>
    </w:p>
    <w:p>
      <w:pPr>
        <w:pStyle w:val="ListParagraph"/>
        <w:numPr>
          <w:ilvl w:val="0"/>
          <w:numId w:val="2"/>
        </w:numPr>
        <w:spacing w:after="70"/>
      </w:pPr>
      <w:r>
        <w:rPr>
          <w:b/>
          <w:bCs/>
        </w:rPr>
        <w:t xml:space="preserve">A session, not a deployment.</w:t>
      </w:r>
      <w:r>
        <w:t xml:space="preserve"> Nothing here shows what happens after weeks of real use.</w:t>
      </w:r>
    </w:p>
    <w:p>
      <w:pPr>
        <w:pStyle w:val="ListParagraph"/>
        <w:numPr>
          <w:ilvl w:val="0"/>
          <w:numId w:val="2"/>
        </w:numPr>
        <w:spacing w:after="70"/>
      </w:pPr>
      <w:r>
        <w:rPr>
          <w:b/>
          <w:bCs/>
        </w:rPr>
        <w:t xml:space="preserve">Closed items only.</w:t>
      </w:r>
      <w:r>
        <w:t xml:space="preserve"> An unanticipated problem has no route into the data after the pilot.</w:t>
      </w:r>
    </w:p>
    <w:p>
      <w:pPr>
        <w:pStyle w:val="ListParagraph"/>
        <w:numPr>
          <w:ilvl w:val="0"/>
          <w:numId w:val="2"/>
        </w:numPr>
        <w:spacing w:after="70"/>
      </w:pPr>
      <w:r>
        <w:rPr>
          <w:b/>
          <w:bCs/>
        </w:rPr>
        <w:t xml:space="preserve">The weighting is a choice, not a finding.</w:t>
      </w:r>
      <w:r>
        <w:t xml:space="preserve"> 50/25/25 is defensible and stated; it is not validated by this study.</w:t>
      </w:r>
    </w:p>
    <w:p>
      <w:pPr>
        <w:pStyle w:val="ListParagraph"/>
        <w:numPr>
          <w:ilvl w:val="0"/>
          <w:numId w:val="2"/>
        </w:numPr>
        <w:spacing w:after="70"/>
      </w:pPr>
      <w:r>
        <w:t>Half credit for an unsourced skill is also a choice, not a finding. 0.5 was picked because it is defensible in one sentence and does not punish a self-taught applicant; no data in this study says it is the right number.</w:t>
      </w:r>
    </w:p>
    <w:p>
      <w:pPr>
        <w:pStyle w:val="Heading2"/>
      </w:pPr>
      <w:r>
        <w:t xml:space="preserve">Data privacy</w:t>
      </w:r>
    </w:p>
    <w:p>
      <w:r>
        <w:t xml:space="preserve">The study handles real personal data — names, contact details, resumes — so RA 10173 applies. Be ready to say where data is stored, who can reach it, how consent is obtained, and what happens to an uploaded document. If the AI reader is enabled, documents are processed by a company outside the Philippines, and the consent notice on the page says so in those words before anyone uploads anything.</w:t>
      </w:r>
    </w:p>
    <w:p>
      <w:r>
        <w:t xml:space="preserve">Two things the group must settle rather than improvise at the podium: who is named as the person accountable for the data, and what happens to it when the study ends.</w:t>
      </w:r>
    </w:p>
    <w:p>
      <w:r>
        <w:br w:type="page"/>
      </w:r>
    </w:p>
    <w:p>
      <w:pPr>
        <w:pStyle w:val="Heading1"/>
      </w:pPr>
      <w:r>
        <w:t xml:space="preserve">8 · Where each claim is proved</w:t>
      </w:r>
    </w:p>
    <w:p>
      <w:r>
        <w:t xml:space="preserve">When a panelist doubts a sentence in the paper, this is where you point.</w:t>
      </w:r>
    </w:p>
    <w:tbl>
      <w:tblPr>
        <w:tblW w:type="dxa" w:w="9360"/>
        <w:tblBorders>
          <w:top w:val="single" w:color="C9CDD4" w:sz="2"/>
          <w:left w:val="none"/>
          <w:bottom w:val="single" w:color="C9CDD4" w:sz="2"/>
          <w:right w:val="none"/>
          <w:insideH w:val="single" w:color="C9CDD4" w:sz="1"/>
          <w:insideV w:val="none"/>
        </w:tblBorders>
      </w:tblPr>
      <w:tblGrid>
        <w:gridCol w:w="4200"/>
        <w:gridCol w:w="5160"/>
      </w:tblGrid>
      <w:tr>
        <w:trPr>
          <w:tblHeader/>
        </w:trPr>
        <w:tc>
          <w:tcPr>
            <w:tcW w:type="dxa" w:w="4200"/>
            <w:shd w:fill="F4F1EA" w:val="clear"/>
            <w:tcMar>
              <w:top w:type="dxa" w:w="90"/>
              <w:left w:type="dxa" w:w="130"/>
              <w:bottom w:type="dxa" w:w="90"/>
              <w:right w:type="dxa" w:w="130"/>
            </w:tcMar>
          </w:tcPr>
          <w:p>
            <w:r>
              <w:rPr>
                <w:b/>
                <w:bCs/>
                <w:sz w:val="19"/>
                <w:szCs w:val="19"/>
              </w:rPr>
              <w:t xml:space="preserve">Claim in the manuscript</w:t>
            </w:r>
          </w:p>
        </w:tc>
        <w:tc>
          <w:tcPr>
            <w:tcW w:type="dxa" w:w="5160"/>
            <w:shd w:fill="F4F1EA" w:val="clear"/>
            <w:tcMar>
              <w:top w:type="dxa" w:w="90"/>
              <w:left w:type="dxa" w:w="130"/>
              <w:bottom w:type="dxa" w:w="90"/>
              <w:right w:type="dxa" w:w="130"/>
            </w:tcMar>
          </w:tcPr>
          <w:p>
            <w:r>
              <w:rPr>
                <w:b/>
                <w:bCs/>
                <w:sz w:val="19"/>
                <w:szCs w:val="19"/>
              </w:rPr>
              <w:t xml:space="preserve">Where it is demonstrated</w:t>
            </w:r>
          </w:p>
        </w:tc>
      </w:tr>
      <w:tr>
        <w:tc>
          <w:tcPr>
            <w:tcW w:type="dxa" w:w="4200"/>
            <w:tcMar>
              <w:top w:type="dxa" w:w="90"/>
              <w:left w:type="dxa" w:w="130"/>
              <w:bottom w:type="dxa" w:w="90"/>
              <w:right w:type="dxa" w:w="130"/>
            </w:tcMar>
          </w:tcPr>
          <w:p>
            <w:r>
              <w:rPr>
                <w:sz w:val="19"/>
                <w:szCs w:val="19"/>
              </w:rPr>
              <w:t xml:space="preserve">The weights are 50/25/25</w:t>
            </w:r>
          </w:p>
        </w:tc>
        <w:tc>
          <w:tcPr>
            <w:tcW w:type="dxa" w:w="5160"/>
            <w:tcMar>
              <w:top w:type="dxa" w:w="90"/>
              <w:left w:type="dxa" w:w="130"/>
              <w:bottom w:type="dxa" w:w="90"/>
              <w:right w:type="dxa" w:w="130"/>
            </w:tcMar>
          </w:tcPr>
          <w:p>
            <w:r>
              <w:rPr>
                <w:sz w:val="19"/>
                <w:szCs w:val="19"/>
              </w:rPr>
              <w:t xml:space="preserve">The engine constant, and a test that fails if it changes</w:t>
            </w:r>
          </w:p>
        </w:tc>
      </w:tr>
      <w:tr>
        <w:tc>
          <w:tcPr>
            <w:tcW w:type="dxa" w:w="4200"/>
            <w:tcMar>
              <w:top w:type="dxa" w:w="90"/>
              <w:left w:type="dxa" w:w="130"/>
              <w:bottom w:type="dxa" w:w="90"/>
              <w:right w:type="dxa" w:w="130"/>
            </w:tcMar>
          </w:tcPr>
          <w:p>
            <w:r>
              <w:rPr>
                <w:sz w:val="19"/>
                <w:szCs w:val="19"/>
              </w:rPr>
              <w:t xml:space="preserve">Strong is 80, possible is 50</w:t>
            </w:r>
          </w:p>
        </w:tc>
        <w:tc>
          <w:tcPr>
            <w:tcW w:type="dxa" w:w="5160"/>
            <w:tcMar>
              <w:top w:type="dxa" w:w="90"/>
              <w:left w:type="dxa" w:w="130"/>
              <w:bottom w:type="dxa" w:w="90"/>
              <w:right w:type="dxa" w:w="130"/>
            </w:tcMar>
          </w:tcPr>
          <w:p>
            <w:r>
              <w:rPr>
                <w:sz w:val="19"/>
                <w:szCs w:val="19"/>
              </w:rPr>
              <w:t xml:space="preserve">The threshold constants, asserted by the same suite</w:t>
            </w:r>
          </w:p>
        </w:tc>
      </w:tr>
      <w:tr>
        <w:tc>
          <w:tcPr>
            <w:tcW w:type="dxa" w:w="4200"/>
            <w:tcMar>
              <w:top w:type="dxa" w:w="90"/>
              <w:left w:type="dxa" w:w="130"/>
              <w:bottom w:type="dxa" w:w="90"/>
              <w:right w:type="dxa" w:w="130"/>
            </w:tcMar>
          </w:tcPr>
          <w:p>
            <w:r>
              <w:rPr>
                <w:sz w:val="19"/>
                <w:szCs w:val="19"/>
              </w:rPr>
              <w:t xml:space="preserve">A recruiter can reweight one opening</w:t>
            </w:r>
          </w:p>
        </w:tc>
        <w:tc>
          <w:tcPr>
            <w:tcW w:type="dxa" w:w="5160"/>
            <w:tcMar>
              <w:top w:type="dxa" w:w="90"/>
              <w:left w:type="dxa" w:w="130"/>
              <w:bottom w:type="dxa" w:w="90"/>
              <w:right w:type="dxa" w:w="130"/>
            </w:tcMar>
          </w:tcPr>
          <w:p>
            <w:r>
              <w:rPr>
                <w:sz w:val="19"/>
                <w:szCs w:val="19"/>
              </w:rPr>
              <w:t xml:space="preserve">The posting form, and the resolution rule in the engine</w:t>
            </w:r>
          </w:p>
        </w:tc>
      </w:tr>
      <w:tr>
        <w:tc>
          <w:tcPr>
            <w:tcW w:type="dxa" w:w="4200"/>
            <w:tcMar>
              <w:top w:type="dxa" w:w="90"/>
              <w:left w:type="dxa" w:w="130"/>
              <w:bottom w:type="dxa" w:w="90"/>
              <w:right w:type="dxa" w:w="130"/>
            </w:tcMar>
          </w:tcPr>
          <w:p>
            <w:r>
              <w:rPr>
                <w:sz w:val="19"/>
                <w:szCs w:val="19"/>
              </w:rPr>
              <w:t xml:space="preserve">The AI never ranks anyone</w:t>
            </w:r>
          </w:p>
        </w:tc>
        <w:tc>
          <w:tcPr>
            <w:tcW w:type="dxa" w:w="5160"/>
            <w:tcMar>
              <w:top w:type="dxa" w:w="90"/>
              <w:left w:type="dxa" w:w="130"/>
              <w:bottom w:type="dxa" w:w="90"/>
              <w:right w:type="dxa" w:w="130"/>
            </w:tcMar>
          </w:tcPr>
          <w:p>
            <w:r>
              <w:rPr>
                <w:sz w:val="19"/>
                <w:szCs w:val="19"/>
              </w:rPr>
              <w:t xml:space="preserve">The sort uses only the structured resume's score</w:t>
            </w:r>
          </w:p>
        </w:tc>
      </w:tr>
      <w:tr>
        <w:tc>
          <w:tcPr>
            <w:tcW w:type="dxa" w:w="4200"/>
            <w:tcMar>
              <w:top w:type="dxa" w:w="90"/>
              <w:left w:type="dxa" w:w="130"/>
              <w:bottom w:type="dxa" w:w="90"/>
              <w:right w:type="dxa" w:w="130"/>
            </w:tcMar>
          </w:tcPr>
          <w:p>
            <w:r>
              <w:rPr>
                <w:sz w:val="19"/>
                <w:szCs w:val="19"/>
              </w:rPr>
              <w:t xml:space="preserve">The system never changes a status</w:t>
            </w:r>
          </w:p>
        </w:tc>
        <w:tc>
          <w:tcPr>
            <w:tcW w:type="dxa" w:w="5160"/>
            <w:tcMar>
              <w:top w:type="dxa" w:w="90"/>
              <w:left w:type="dxa" w:w="130"/>
              <w:bottom w:type="dxa" w:w="90"/>
              <w:right w:type="dxa" w:w="130"/>
            </w:tcMar>
          </w:tcPr>
          <w:p>
            <w:r>
              <w:rPr>
                <w:sz w:val="19"/>
                <w:szCs w:val="19"/>
              </w:rPr>
              <w:t xml:space="preserve">Every history row names a user; no code path writes one without</w:t>
            </w:r>
          </w:p>
        </w:tc>
      </w:tr>
      <w:tr>
        <w:tc>
          <w:tcPr>
            <w:tcW w:type="dxa" w:w="4200"/>
            <w:tcMar>
              <w:top w:type="dxa" w:w="90"/>
              <w:left w:type="dxa" w:w="130"/>
              <w:bottom w:type="dxa" w:w="90"/>
              <w:right w:type="dxa" w:w="130"/>
            </w:tcMar>
          </w:tcPr>
          <w:p>
            <w:r>
              <w:rPr>
                <w:sz w:val="19"/>
                <w:szCs w:val="19"/>
              </w:rPr>
              <w:t xml:space="preserve">The score is reproducible</w:t>
            </w:r>
          </w:p>
        </w:tc>
        <w:tc>
          <w:tcPr>
            <w:tcW w:type="dxa" w:w="5160"/>
            <w:tcMar>
              <w:top w:type="dxa" w:w="90"/>
              <w:left w:type="dxa" w:w="130"/>
              <w:bottom w:type="dxa" w:w="90"/>
              <w:right w:type="dxa" w:w="130"/>
            </w:tcMar>
          </w:tcPr>
          <w:p>
            <w:r>
              <w:rPr>
                <w:sz w:val="19"/>
                <w:szCs w:val="19"/>
              </w:rPr>
              <w:t>The application stores score_snapshot, and the ranked list sorts on it — an API test edits a resume after applying and asserts the shortlist does not reorder</w:t>
            </w:r>
          </w:p>
        </w:tc>
      </w:tr>
      <w:tr>
        <w:tc>
          <w:tcPr>
            <w:tcW w:type="dxa" w:w="4200"/>
            <w:tcMar>
              <w:top w:type="dxa" w:w="90"/>
              <w:left w:type="dxa" w:w="130"/>
              <w:bottom w:type="dxa" w:w="90"/>
              <w:right w:type="dxa" w:w="130"/>
            </w:tcMar>
          </w:tcPr>
          <w:p>
            <w:r>
              <w:rPr>
                <w:sz w:val="19"/>
                <w:szCs w:val="19"/>
              </w:rPr>
              <w:t xml:space="preserve">Server and browser agree</w:t>
            </w:r>
          </w:p>
        </w:tc>
        <w:tc>
          <w:tcPr>
            <w:tcW w:type="dxa" w:w="5160"/>
            <w:tcMar>
              <w:top w:type="dxa" w:w="90"/>
              <w:left w:type="dxa" w:w="130"/>
              <w:bottom w:type="dxa" w:w="90"/>
              <w:right w:type="dxa" w:w="130"/>
            </w:tcMar>
          </w:tcPr>
          <w:p>
            <w:r>
              <w:rPr>
                <w:sz w:val="19"/>
                <w:szCs w:val="19"/>
              </w:rPr>
              <w:t xml:space="preserve">The parity suite scores the same fixtures through both</w:t>
            </w:r>
          </w:p>
        </w:tc>
      </w:tr>
      <w:tr>
        <w:tc>
          <w:tcPr>
            <w:tcW w:type="dxa" w:w="4200"/>
            <w:tcMar>
              <w:top w:type="dxa" w:w="90"/>
              <w:left w:type="dxa" w:w="130"/>
              <w:bottom w:type="dxa" w:w="90"/>
              <w:right w:type="dxa" w:w="130"/>
            </w:tcMar>
          </w:tcPr>
          <w:p>
            <w:r>
              <w:rPr>
                <w:sz w:val="19"/>
                <w:szCs w:val="19"/>
              </w:rPr>
              <w:t xml:space="preserve">Uploaded files are not public</w:t>
            </w:r>
          </w:p>
        </w:tc>
        <w:tc>
          <w:tcPr>
            <w:tcW w:type="dxa" w:w="5160"/>
            <w:tcMar>
              <w:top w:type="dxa" w:w="90"/>
              <w:left w:type="dxa" w:w="130"/>
              <w:bottom w:type="dxa" w:w="90"/>
              <w:right w:type="dxa" w:w="130"/>
            </w:tcMar>
          </w:tcPr>
          <w:p>
            <w:r>
              <w:rPr>
                <w:sz w:val="19"/>
                <w:szCs w:val="19"/>
              </w:rPr>
              <w:t xml:space="preserve">Stored outside the web root, served through a route that checks the caller</w:t>
            </w:r>
          </w:p>
        </w:tc>
      </w:tr>
      <w:tr>
        <w:tc>
          <w:tcPr>
            <w:tcW w:type="dxa" w:w="4200"/>
            <w:tcMar>
              <w:top w:type="dxa" w:w="90"/>
              <w:left w:type="dxa" w:w="130"/>
              <w:bottom w:type="dxa" w:w="90"/>
              <w:right w:type="dxa" w:w="130"/>
            </w:tcMar>
          </w:tcPr>
          <w:p>
            <w:r>
              <w:rPr>
                <w:sz w:val="19"/>
                <w:szCs w:val="19"/>
              </w:rPr>
              <w:t>A skill with no source counts half</w:t>
            </w:r>
          </w:p>
        </w:tc>
        <w:tc>
          <w:tcPr>
            <w:tcW w:type="dxa" w:w="5160"/>
            <w:tcMar>
              <w:top w:type="dxa" w:w="90"/>
              <w:left w:type="dxa" w:w="130"/>
              <w:bottom w:type="dxa" w:w="90"/>
              <w:right w:type="dxa" w:w="130"/>
            </w:tcMar>
          </w:tcPr>
          <w:p>
            <w:r>
              <w:rPr>
                <w:sz w:val="19"/>
                <w:szCs w:val="19"/>
              </w:rPr>
              <w:t>UNEVIDENCED_CREDIT in both engines, with engine tests on the constant, on each branch, and on the empty-versus-absent distinction</w:t>
            </w:r>
          </w:p>
        </w:tc>
      </w:tr>
      <w:tr>
        <w:tc>
          <w:tcPr>
            <w:tcW w:type="dxa" w:w="4200"/>
            <w:tcMar>
              <w:top w:type="dxa" w:w="90"/>
              <w:left w:type="dxa" w:w="130"/>
              <w:bottom w:type="dxa" w:w="90"/>
              <w:right w:type="dxa" w:w="130"/>
            </w:tcMar>
          </w:tcPr>
          <w:p>
            <w:r>
              <w:rPr>
                <w:sz w:val="19"/>
                <w:szCs w:val="19"/>
              </w:rPr>
              <w:t>The link is never on the applicant’s resume</w:t>
            </w:r>
          </w:p>
        </w:tc>
        <w:tc>
          <w:tcPr>
            <w:tcW w:type="dxa" w:w="5160"/>
            <w:tcMar>
              <w:top w:type="dxa" w:w="90"/>
              <w:left w:type="dxa" w:w="130"/>
              <w:bottom w:type="dxa" w:w="90"/>
              <w:right w:type="dxa" w:w="130"/>
            </w:tcMar>
          </w:tcPr>
          <w:p>
            <w:r>
              <w:rPr>
                <w:sz w:val="19"/>
                <w:szCs w:val="19"/>
              </w:rPr>
              <w:t>The printed sheet renders the flat skills list; an API test asserts no employer name reaches it</w:t>
            </w:r>
          </w:p>
        </w:tc>
      </w:tr>
      <w:tr>
        <w:tc>
          <w:tcPr>
            <w:tcW w:type="dxa" w:w="4200"/>
            <w:tcMar>
              <w:top w:type="dxa" w:w="90"/>
              <w:left w:type="dxa" w:w="130"/>
              <w:bottom w:type="dxa" w:w="90"/>
              <w:right w:type="dxa" w:w="130"/>
            </w:tcMar>
          </w:tcPr>
          <w:p>
            <w:r>
              <w:rPr>
                <w:sz w:val="19"/>
                <w:szCs w:val="19"/>
              </w:rPr>
              <w:t>Applicants are told why they were not taken forward</w:t>
            </w:r>
          </w:p>
        </w:tc>
        <w:tc>
          <w:tcPr>
            <w:tcW w:type="dxa" w:w="5160"/>
            <w:tcMar>
              <w:top w:type="dxa" w:w="90"/>
              <w:left w:type="dxa" w:w="130"/>
              <w:bottom w:type="dxa" w:w="90"/>
              <w:right w:type="dxa" w:w="130"/>
            </w:tcMar>
          </w:tcPr>
          <w:p>
            <w:r>
              <w:rPr>
                <w:sz w:val="19"/>
                <w:szCs w:val="19"/>
              </w:rPr>
              <w:t>The history route returns the reason to both audiences and the staff name to neither — one API test covers both halves</w:t>
            </w:r>
          </w:p>
        </w:tc>
      </w:tr>
    </w:tbl>
    <w:p>
      <w:pPr>
        <w:pStyle w:val="Heading2"/>
      </w:pPr>
      <w:r>
        <w:t xml:space="preserve">What is still open</w:t>
      </w:r>
    </w:p>
    <w:p>
      <w:r>
        <w:t xml:space="preserve">Say these plainly if asked, rather than being caught by them.</w:t>
      </w:r>
    </w:p>
    <w:p>
      <w:pPr>
        <w:pStyle w:val="ListParagraph"/>
        <w:numPr>
          <w:ilvl w:val="0"/>
          <w:numId w:val="2"/>
        </w:numPr>
        <w:spacing w:after="70"/>
      </w:pPr>
      <w:r>
        <w:t xml:space="preserve">Data collection has not been completed, so there are no findings yet.</w:t>
      </w:r>
    </w:p>
    <w:p>
      <w:pPr>
        <w:pStyle w:val="ListParagraph"/>
        <w:numPr>
          <w:ilvl w:val="0"/>
          <w:numId w:val="2"/>
        </w:numPr>
        <w:spacing w:after="70"/>
      </w:pPr>
      <w:r>
        <w:t xml:space="preserve">A named person accountable for the data, and a disposal plan, still need to be settled.</w:t>
      </w:r>
    </w:p>
    <w:p>
      <w:pPr>
        <w:pStyle w:val="ListParagraph"/>
        <w:numPr>
          <w:ilvl w:val="0"/>
          <w:numId w:val="2"/>
        </w:numPr>
        <w:spacing w:after="70"/>
      </w:pPr>
      <w:r>
        <w:t xml:space="preserve">Some features exist in the software that the manuscript does not yet describe — search optimisation and request rate limiting among them.</w:t>
      </w:r>
    </w:p>
    <w:p>
      <w:pPr>
        <w:pStyle w:val="ListParagraph"/>
        <w:numPr>
          <w:ilvl w:val="0"/>
          <w:numId w:val="2"/>
        </w:numPr>
        <w:spacing w:after="70"/>
      </w:pPr>
      <w:r>
        <w:t xml:space="preserve">Job alerts are filtered by score, which the paper should state rather than implying seekers are told about every new opening.</w:t>
      </w:r>
    </w:p>
    <w:p>
      <w:pPr>
        <w:pStyle w:val="ListParagraph"/>
        <w:numPr>
          <w:ilvl w:val="0"/>
          <w:numId w:val="2"/>
        </w:numPr>
        <w:spacing w:after="70"/>
      </w:pPr>
      <w:r>
        <w:t>Two features are in the software and not yet in the manuscript: skills linked to evidence with half credit for the unlinked, and rejection reasons that reach the applicant. Both change sentences the paper already contains — the scoring formula in Chapter 3, and the description of what an applicant is told — so they are edits rather than additions.</w:t>
      </w:r>
    </w:p>
    <w:p>
      <w:pPr>
        <w:pStyle w:val="ListParagraph"/>
        <w:numPr>
          <w:ilvl w:val="0"/>
          <w:numId w:val="2"/>
        </w:numPr>
        <w:spacing w:after="70"/>
      </w:pPr>
      <w:r>
        <w:t>The scoring formula as printed in Chapter 3 is now incomplete. It reads matched ÷ required; it should read (matched − unsourced × 0.5) ÷ required. Anyone reproducing a score by hand from the paper alone would get the wrong number for an applicant with an unsourced skill.</w:t>
      </w:r>
    </w:p>
    <w:p>
      <w:r>
        <w:t xml:space="preserve">A group that volunteers its own open items reads as rigorous. A group that is caught by them reads as careless. The list above is short and every item on it is fixable.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Manuscript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2026-08-13T08:00:22.296Z</dcterms:created>
  <dcterms:modified xsi:type="dcterms:W3CDTF">2026-08-13T08:00:22.297Z</dcterms:modified>
</cp:coreProperties>
</file>

<file path=docProps/custom.xml><?xml version="1.0" encoding="utf-8"?>
<Properties xmlns="http://schemas.openxmlformats.org/officeDocument/2006/custom-properties" xmlns:vt="http://schemas.openxmlformats.org/officeDocument/2006/docPropsVTypes"/>
</file>