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120"/>
      </w:pPr>
      <w:r>
        <w:rPr>
          <w:b/>
          <w:i w:val="0"/>
        </w:rPr>
        <w:t>28.  What stops the model inventing a skill the applicant never claimed?</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fifty-five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205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weights are reasoned, not measured</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205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Certificates are scored only if a recruiter asks for them  (CLOSED — this used to be a weakness)</w:t>
      </w:r>
    </w:p>
    <w:p>
      <w:pPr>
        <w:spacing w:after="120"/>
      </w:pPr>
      <w:r>
        <w:rPr>
          <w:b w:val="0"/>
          <w:i w:val="0"/>
        </w:rPr>
        <w:t>Why it used to be a weakness —  The system collected certificates, showed them, then ignored them in the formula. That looked inconsistent, and it was.</w:t>
      </w:r>
    </w:p>
    <w:p>
      <w:pPr>
        <w:spacing w:after="120"/>
      </w:pPr>
      <w:r>
        <w:rPr>
          <w:b w:val="0"/>
          <w:i w:val="0"/>
        </w:rPr>
        <w:t>How the panel will ask —  "Do certificates count or not?"</w:t>
      </w:r>
    </w:p>
    <w:p>
      <w:pPr>
        <w:spacing w:after="120"/>
      </w:pPr>
      <w:r>
        <w:rPr>
          <w:b w:val="0"/>
          <w:i w:val="0"/>
        </w:rPr>
        <w:t>How to answer —</w:t>
      </w:r>
    </w:p>
    <w:p>
      <w:pPr>
        <w:spacing w:after="120"/>
      </w:pPr>
      <w:r>
        <w:rPr>
          <w:b w:val="0"/>
          <w:i w:val="0"/>
        </w:rPr>
        <w:t>“They count when the recruiter says they should. There is a fourth part of the formula for certificates, and its weight starts at zero — so by default the score is still skills 50, education 25, experience 25, exactly as the paper publishes it. A recruiter who is hiring for a role that turns on a certificate gives it a share on that one opening and names the certificates wanted. Everything else — projects, languages, references — is still stored and shown but never scored, and we say so in our Delimitations. We kept the default at zero on purpose: changing the published weights partway through data collection would mean respondents were not all rating the same system.”</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205 automated tests across eight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 80/50 · 3 formats · 14 designs · 3 roles · 6 statuses · 18 pages · 56 endpoints · 22 tables · 205 tests · 55 respondents · unsourced skill = half credit.</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