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 proportion of the posting’s required skills the applicant lists, the applicant’s highest educational attainment relative to the level required, and total months of experience relative to the months required. Certifications, projects, languages and references are stored, printed and shown to the recruiter, but do not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198 automated tests across eight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and X is total months of experience divided by the months required. Ws, We and Wx are the posting’s weights, 0.50/0.25/0.25 unless the recruiter rebalanced them; they always sum to 1.0 and none may fall below 0.10, so the scale is 0 to 100 for every posting and no component can be dropped. E and X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Fifty-three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forty-five tests covers the rule-based document reader, which reads an uploaded resume into structured fields without a language model. Six of them were written from a five-page curriculum vitae the reader had misread on the live system, and each names the damage rather than the pattern that repairs it: a wrapped sentence whose last word was a heading word must not begin a section, the section names a curriculum vitae uses must be recognised, a section that is not employment must end the one before it, a doctorate must read as the top of the education scale, a surname split by a stray hyphen must still be read as a name, and a banner reading "PERSONAL INFORMATION" must NOT be treated as a section, because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 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 One hundred and ninety-eight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stated 50 / 25 / 25 formula.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