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sdt>
      <w:sdtPr>
        <w:alias w:val="Contents"/>
      </w:sdtPr>
      <w:sdtContent>
        <w:p>
          <w:r>
            <w:fldChar w:fldCharType="begin" w:dirty="true"/>
            <w:instrText xml:space="preserve">TOC \h \o "1-2"</w:instrText>
            <w:fldChar w:fldCharType="separate"/>
          </w:r>
        </w:p>
        <w:p>
          <w:r>
            <w:fldChar w:fldCharType="end"/>
          </w:r>
        </w:p>
      </w:sdtContent>
    </w:sdt>
    <w:p>
      <w:pPr>
        <w:pStyle w:val="Title"/>
        <w:spacing w:after="120"/>
      </w:pPr>
      <w:r>
        <w:t>ResumeMatch PH</w:t>
      </w:r>
    </w:p>
    <w:p>
      <w:pPr>
        <w:spacing w:after="120"/>
      </w:pPr>
      <w:r>
        <w:rPr>
          <w:b/>
          <w:sz w:val="26"/>
        </w:rPr>
        <w:t>Core facts — the one place every number lives</w:t>
      </w:r>
    </w:p>
    <w:p>
      <w:pPr>
        <w:spacing w:after="120"/>
      </w:pPr>
      <w:r>
        <w:t>Holy Angel University · School of Computing · Garcia, Santos, Talens.  Rebuilt 25 August 2026.</w:t>
      </w:r>
    </w:p>
    <w:p>
      <w:pPr>
        <w:spacing w:after="120"/>
      </w:pPr>
      <w:r>
        <w:t>Read this once and the rest of the pack is mostly questions and detail. Every figure below was taken from the running system or the database on the date above, not from an earlier document.</w:t>
      </w:r>
    </w:p>
    <w:p>
      <w:pPr>
        <w:spacing w:after="120"/>
      </w:pPr>
      <w:r>
        <w:t>WHY THIS FILE EXISTS. The previous pack repeated the same facts across eleven documents. That is not just long: two of the copies had drifted. One of them coached you to attribute the sample size of forty to a power calculation, which the paper clearly says it does not come from. Numbers now live here and the other files point at them. If a figure changes, change it here.</w:t>
      </w:r>
    </w:p>
    <w:p>
      <w:pPr>
        <w:pStyle w:val="Heading1"/>
        <w:spacing w:after="120"/>
      </w:pPr>
      <w:r>
        <w:t>1 · The one-paragraph answer</w:t>
      </w:r>
    </w:p>
    <w:p>
      <w:pPr>
        <w:spacing w:after="120"/>
      </w:pPr>
      <w:r>
        <w:t>ResumeMatch PH is a free website with two sides. A job seeker builds a structured resume through a guided builder and sees an honest match score against every real opening posted by our partner company. A recruiter posts an opening, states what it requires, and sees applicants ranked by the same score the applicant already saw. The score is published arithmetic, not a judgement: the applicant sees the same number the recruiter sees, and is told how many required skills they are missing.</w:t>
      </w:r>
    </w:p>
    <w:p>
      <w:pPr>
        <w:pStyle w:val="Heading1"/>
        <w:spacing w:after="120"/>
      </w:pPr>
      <w:r>
        <w:t>2 · The score</w:t>
      </w:r>
    </w:p>
    <w:p>
      <w:pPr>
        <w:spacing w:after="120"/>
      </w:pPr>
      <w:r>
        <w:t>Score = (S x 0.50 + E x 0.25 + X x 0.25) x 100, rounded half-up to a whole number.</w:t>
      </w:r>
    </w:p>
    <w:tbl>
      <w:tblPr>
        <w:tblW w:type="auto" w:w="0"/>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4680"/>
        <w:gridCol w:w="4680"/>
      </w:tblGrid>
      <w:tr>
        <w:tc>
          <w:tcPr>
            <w:tcW w:type="dxa" w:w="4680"/>
          </w:tcPr>
          <w:p>
            <w:r>
              <w:rPr>
                <w:b/>
              </w:rPr>
              <w:t>S — skills</w:t>
            </w:r>
          </w:p>
        </w:tc>
        <w:tc>
          <w:tcPr>
            <w:tcW w:type="dxa" w:w="4680"/>
          </w:tcPr>
          <w:p>
            <w:r>
              <w:t>The share of the posting's required skills the applicant has. A matched skill for which the applicant named no source counts 0.5 rather than 1.</w:t>
            </w:r>
          </w:p>
        </w:tc>
      </w:tr>
      <w:tr>
        <w:tc>
          <w:tcPr>
            <w:tcW w:type="dxa" w:w="4680"/>
          </w:tcPr>
          <w:p>
            <w:r>
              <w:rPr>
                <w:b/>
              </w:rPr>
              <w:t>E — education</w:t>
            </w:r>
          </w:p>
        </w:tc>
        <w:tc>
          <w:tcPr>
            <w:tcW w:type="dxa" w:w="4680"/>
          </w:tcPr>
          <w:p>
            <w:r>
              <w:t>The applicant's highest level divided by the level required, capped at 1. A posting requiring nothing scores 1.</w:t>
            </w:r>
          </w:p>
        </w:tc>
      </w:tr>
      <w:tr>
        <w:tc>
          <w:tcPr>
            <w:tcW w:type="dxa" w:w="4680"/>
          </w:tcPr>
          <w:p>
            <w:r>
              <w:rPr>
                <w:b/>
              </w:rPr>
              <w:t>X — experience</w:t>
            </w:r>
          </w:p>
        </w:tc>
        <w:tc>
          <w:tcPr>
            <w:tcW w:type="dxa" w:w="4680"/>
          </w:tcPr>
          <w:p>
            <w:r>
              <w:t>Total months divided by the months required, capped at 1. A posting requiring nothing scores 1.</w:t>
            </w:r>
          </w:p>
        </w:tc>
      </w:tr>
      <w:tr>
        <w:tc>
          <w:tcPr>
            <w:tcW w:type="dxa" w:w="4680"/>
          </w:tcPr>
          <w:p>
            <w:r>
              <w:rPr>
                <w:b/>
              </w:rPr>
              <w:t>Education ranks</w:t>
            </w:r>
          </w:p>
        </w:tc>
        <w:tc>
          <w:tcPr>
            <w:tcW w:type="dxa" w:w="4680"/>
          </w:tcPr>
          <w:p>
            <w:r>
              <w:t>none 0 · high school 1 · vocational 2 · associate 3 · bachelor 4 · master 5</w:t>
            </w:r>
          </w:p>
        </w:tc>
      </w:tr>
      <w:tr>
        <w:tc>
          <w:tcPr>
            <w:tcW w:type="dxa" w:w="4680"/>
          </w:tcPr>
          <w:p>
            <w:r>
              <w:rPr>
                <w:b/>
              </w:rPr>
              <w:t>Tiers</w:t>
            </w:r>
          </w:p>
        </w:tc>
        <w:tc>
          <w:tcPr>
            <w:tcW w:type="dxa" w:w="4680"/>
          </w:tcPr>
          <w:p>
            <w:r>
              <w:t>Strong 80 and above · Possible 50 to 79 · Related below 50</w:t>
            </w:r>
          </w:p>
        </w:tc>
      </w:tr>
      <w:tr>
        <w:tc>
          <w:tcPr>
            <w:tcW w:type="dxa" w:w="4680"/>
          </w:tcPr>
          <w:p>
            <w:r>
              <w:rPr>
                <w:b/>
              </w:rPr>
              <w:t>Per-opening weights</w:t>
            </w:r>
          </w:p>
        </w:tc>
        <w:tc>
          <w:tcPr>
            <w:tcW w:type="dxa" w:w="4680"/>
          </w:tcPr>
          <w:p>
            <w:r>
              <w:t>A recruiter may change the split on one opening. The three must total 100 and none may fall below 10.</w:t>
            </w:r>
          </w:p>
        </w:tc>
      </w:tr>
    </w:tbl>
    <w:p>
      <w:pPr>
        <w:spacing w:after="120"/>
      </w:pPr>
      <w:r>
        <w:t>The weights and thresholds are rows in the match_settings table, not constants in the code, so they can be retuned without redeploying. The same formula is written twice, once in the server and once in the browser, so a seeker browsing openings does not need a network round trip per opening; a test compares 500 randomly generated resume-and-posting pairs and requires the two to agree exactly.</w:t>
      </w:r>
    </w:p>
    <w:p>
      <w:pPr>
        <w:pStyle w:val="Heading1"/>
        <w:spacing w:after="120"/>
      </w:pPr>
      <w:r>
        <w:t>3 · The AI question</w:t>
      </w:r>
    </w:p>
    <w:p>
      <w:pPr>
        <w:spacing w:after="120"/>
      </w:pPr>
      <w:r>
        <w:t>Learn this properly; it comes up every time. The scoring, ranking and recommending contain no artificial intelligence of any kind. They are the sum above, and anyone can check it on paper.</w:t>
      </w:r>
    </w:p>
    <w:p>
      <w:pPr>
        <w:spacing w:after="120"/>
      </w:pPr>
      <w:r>
        <w:t>AI appears in exactly one optional place. An applicant who already has a resume file may upload it, and the contents are sent to Google's Gemini API, which returns the fields it recognises so the builder can be pre-filled. The applicant reviews and approves every value before anything is saved. Nothing is scored from that step, and the privacy page says plainly what the feature does and that typing the details by hand instead is always available.</w:t>
      </w:r>
    </w:p>
    <w:p>
      <w:pPr>
        <w:spacing w:after="120"/>
      </w:pPr>
      <w:r>
        <w:t>The one sentence to remember: the AI fills in boxes, it does not judge anybody.</w:t>
      </w:r>
    </w:p>
    <w:p>
      <w:pPr>
        <w:spacing w:after="120"/>
      </w:pPr>
      <w:r>
        <w:t>There is also a second reader that uses no AI at all — pattern matching only, no network — which handles most uploads. It is not AI and should never be described as AI.</w:t>
      </w:r>
    </w:p>
    <w:p>
      <w:pPr>
        <w:pStyle w:val="Heading1"/>
        <w:spacing w:after="120"/>
      </w:pPr>
      <w:r>
        <w:t>4 · The two resumes</w:t>
      </w:r>
    </w:p>
    <w:p>
      <w:pPr>
        <w:spacing w:after="120"/>
      </w:pPr>
      <w:r>
        <w:t>A job seeker has two things on the site, and the difference is the question people ask about most.</w:t>
      </w:r>
    </w:p>
    <w:tbl>
      <w:tblPr>
        <w:tblW w:type="auto" w:w="0"/>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4680"/>
        <w:gridCol w:w="4680"/>
      </w:tblGrid>
      <w:tr>
        <w:tc>
          <w:tcPr>
            <w:tcW w:type="dxa" w:w="4680"/>
          </w:tcPr>
          <w:p>
            <w:r>
              <w:rPr>
                <w:b/>
              </w:rPr>
              <w:t>The one they built here</w:t>
            </w:r>
          </w:p>
        </w:tc>
        <w:tc>
          <w:tcPr>
            <w:tcW w:type="dxa" w:w="4680"/>
          </w:tcPr>
          <w:p>
            <w:r>
              <w:t>Structured fields the system can read reliably. THIS is what gets scored and what decides ranking.</w:t>
            </w:r>
          </w:p>
        </w:tc>
      </w:tr>
      <w:tr>
        <w:tc>
          <w:tcPr>
            <w:tcW w:type="dxa" w:w="4680"/>
          </w:tcPr>
          <w:p>
            <w:r>
              <w:rPr>
                <w:b/>
              </w:rPr>
              <w:t>The file they already had</w:t>
            </w:r>
          </w:p>
        </w:tc>
        <w:tc>
          <w:tcPr>
            <w:tcW w:type="dxa" w:w="4680"/>
          </w:tcPr>
          <w:p>
            <w:r>
              <w:t>Their own PDF or Word document. The recruiter can open and read it. It is read into fields so it can also be scored, but the ranking is sorted on the score from the structured resume.</w:t>
            </w:r>
          </w:p>
        </w:tc>
      </w:tr>
    </w:tbl>
    <w:p>
      <w:pPr>
        <w:spacing w:after="120"/>
      </w:pPr>
      <w:r>
        <w:t>If a panelist asks how you know the uploaded file never decides anyone's position, the answer is that the sort is on the score, and a file that could not be read gives no score rather than a zero — an unreadable document must not be presented as a fact about the applicant.</w:t>
      </w:r>
    </w:p>
    <w:p>
      <w:pPr>
        <w:pStyle w:val="Heading1"/>
        <w:spacing w:after="120"/>
      </w:pPr>
      <w:r>
        <w:t>5 · The study</w:t>
      </w:r>
    </w:p>
    <w:tbl>
      <w:tblPr>
        <w:tblW w:type="auto" w:w="0"/>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4680"/>
        <w:gridCol w:w="4680"/>
      </w:tblGrid>
      <w:tr>
        <w:tc>
          <w:tcPr>
            <w:tcW w:type="dxa" w:w="4680"/>
          </w:tcPr>
          <w:p>
            <w:r>
              <w:rPr>
                <w:b/>
              </w:rPr>
              <w:t>Design</w:t>
            </w:r>
          </w:p>
        </w:tc>
        <w:tc>
          <w:tcPr>
            <w:tcW w:type="dxa" w:w="4680"/>
          </w:tcPr>
          <w:p>
            <w:r>
              <w:t>Quantitative descriptive, with one inferential test on one bounded part of the data.</w:t>
            </w:r>
          </w:p>
        </w:tc>
      </w:tr>
      <w:tr>
        <w:tc>
          <w:tcPr>
            <w:tcW w:type="dxa" w:w="4680"/>
          </w:tcPr>
          <w:p>
            <w:r>
              <w:rPr>
                <w:b/>
              </w:rPr>
              <w:t>Development</w:t>
            </w:r>
          </w:p>
        </w:tc>
        <w:tc>
          <w:tcPr>
            <w:tcW w:type="dxa" w:w="4680"/>
          </w:tcPr>
          <w:p>
            <w:r>
              <w:t>Waterfall (linear sequential): each phase finished before the next, and the whole system finished before any evaluation instrument is issued. The study and the build are separate things and should be described separately.</w:t>
            </w:r>
          </w:p>
        </w:tc>
      </w:tr>
      <w:tr>
        <w:tc>
          <w:tcPr>
            <w:tcW w:type="dxa" w:w="4680"/>
          </w:tcPr>
          <w:p>
            <w:r>
              <w:rPr>
                <w:b/>
              </w:rPr>
              <w:t>Sampling</w:t>
            </w:r>
          </w:p>
        </w:tc>
        <w:tc>
          <w:tcPr>
            <w:tcW w:type="dxa" w:w="4680"/>
          </w:tcPr>
          <w:p>
            <w:r>
              <w:t>Purposive. No sampling frame exists, so no random draw is possible and no margin of error is claimed.</w:t>
            </w:r>
          </w:p>
        </w:tc>
      </w:tr>
      <w:tr>
        <w:tc>
          <w:tcPr>
            <w:tcW w:type="dxa" w:w="4680"/>
          </w:tcPr>
          <w:p>
            <w:r>
              <w:rPr>
                <w:b/>
              </w:rPr>
              <w:t>Why not Slovin</w:t>
            </w:r>
          </w:p>
        </w:tc>
        <w:tc>
          <w:tcPr>
            <w:tcW w:type="dxa" w:w="4680"/>
          </w:tcPr>
          <w:p>
            <w:r>
              <w:t>Slovin-type formulas bound the error of an estimate from RANDOM probability sampling. Applied to a purposively chosen group the number would carry no inferential meaning.</w:t>
            </w:r>
          </w:p>
        </w:tc>
      </w:tr>
      <w:tr>
        <w:tc>
          <w:tcPr>
            <w:tcW w:type="dxa" w:w="4680"/>
          </w:tcPr>
          <w:p>
            <w:r>
              <w:rPr>
                <w:b/>
              </w:rPr>
              <w:t>Where 40 came from</w:t>
            </w:r>
          </w:p>
        </w:tc>
        <w:tc>
          <w:tcPr>
            <w:tcW w:type="dxa" w:w="4680"/>
          </w:tcPr>
          <w:p>
            <w:r>
              <w:t>A practical minimum for a single-site descriptive study, stated as a judgement. It is NOT a power calculation, and saying that it is contradicts the paper.</w:t>
            </w:r>
          </w:p>
        </w:tc>
      </w:tr>
      <w:tr>
        <w:tc>
          <w:tcPr>
            <w:tcW w:type="dxa" w:w="4680"/>
          </w:tcPr>
          <w:p>
            <w:r>
              <w:rPr>
                <w:b/>
              </w:rPr>
              <w:t>What was achieved</w:t>
            </w:r>
          </w:p>
        </w:tc>
        <w:tc>
          <w:tcPr>
            <w:tcW w:type="dxa" w:w="4680"/>
          </w:tcPr>
          <w:p>
            <w:r>
              <w:t>108 responses collected, 5 excluded, 103 valid. Of those, 46 match the stated population and 57 describe themselves as employed and not looking. The 46 exceed the target of 40. The 57 are reported separately and never pooled.</w:t>
            </w:r>
          </w:p>
        </w:tc>
      </w:tr>
      <w:tr>
        <w:tc>
          <w:tcPr>
            <w:tcW w:type="dxa" w:w="4680"/>
          </w:tcPr>
          <w:p>
            <w:r>
              <w:rPr>
                <w:b/>
              </w:rPr>
              <w:t>HR respondents</w:t>
            </w:r>
          </w:p>
        </w:tc>
        <w:tc>
          <w:tcPr>
            <w:tcW w:type="dxa" w:w="4680"/>
          </w:tcPr>
          <w:p>
            <w:r>
              <w:t>A purposive census of one department, about ten people, not a sample. Reported as counts.</w:t>
            </w:r>
          </w:p>
        </w:tc>
      </w:tr>
      <w:tr>
        <w:tc>
          <w:tcPr>
            <w:tcW w:type="dxa" w:w="4680"/>
          </w:tcPr>
          <w:p>
            <w:r>
              <w:rPr>
                <w:b/>
              </w:rPr>
              <w:t>IT experts</w:t>
            </w:r>
          </w:p>
        </w:tc>
        <w:tc>
          <w:tcPr>
            <w:tcW w:type="dxa" w:w="4680"/>
          </w:tcPr>
          <w:p>
            <w:r>
              <w:t>A third group, added for research question 7. Five sought, three the floor below which that part is reported as incomplete. Not users: they inspect the deployed system and its source code. Three eligibility conditions, one of which is having taken no part in building it.</w:t>
            </w:r>
          </w:p>
        </w:tc>
      </w:tr>
      <w:tr>
        <w:tc>
          <w:tcPr>
            <w:tcW w:type="dxa" w:w="4680"/>
          </w:tcPr>
          <w:p>
            <w:r>
              <w:rPr>
                <w:b/>
              </w:rPr>
              <w:t>Instruments</w:t>
            </w:r>
          </w:p>
        </w:tc>
        <w:tc>
          <w:tcPr>
            <w:tcW w:type="dxa" w:w="4680"/>
          </w:tcPr>
          <w:p>
            <w:r>
              <w:t>Six, 147 items, every one closed. A 21 items and a consent item, B 22 — both before the system is finished. C 40, D 28 and F 31 — after. E is a 5-item ranking task in the same session as D. Only the ten SUS items inside C are from a published scale.</w:t>
            </w:r>
          </w:p>
        </w:tc>
      </w:tr>
      <w:tr>
        <w:tc>
          <w:tcPr>
            <w:tcW w:type="dxa" w:w="4680"/>
          </w:tcPr>
          <w:p>
            <w:r>
              <w:rPr>
                <w:b/>
              </w:rPr>
              <w:t>Quality model</w:t>
            </w:r>
          </w:p>
        </w:tc>
        <w:tc>
          <w:tcPr>
            <w:tcW w:type="dxa" w:w="4680"/>
          </w:tcPr>
          <w:p>
            <w:r>
              <w:t>ISO/IEC 25010 (2023), five of its eight characteristics. Job seekers and recruiters rate three from their own use: functional suitability, usability, reliability. IT experts rate those three from inspection and add security and maintainability.</w:t>
            </w:r>
          </w:p>
        </w:tc>
      </w:tr>
      <w:tr>
        <w:tc>
          <w:tcPr>
            <w:tcW w:type="dxa" w:w="4680"/>
          </w:tcPr>
          <w:p>
            <w:r>
              <w:rPr>
                <w:b/>
              </w:rPr>
              <w:t>The one inferential test</w:t>
            </w:r>
          </w:p>
        </w:tc>
        <w:tc>
          <w:tcPr>
            <w:tcW w:type="dxa" w:w="4680"/>
          </w:tcPr>
          <w:p>
            <w:r>
              <w:t>Wilcoxon signed-rank on four items asked before and after use. Two-sided; the study does not predict the direction.</w:t>
            </w:r>
          </w:p>
        </w:tc>
      </w:tr>
    </w:tbl>
    <w:p>
      <w:pPr>
        <w:spacing w:after="120"/>
      </w:pPr>
      <w:r>
        <w:t>Responses are CONFIDENTIAL, not anonymous. The form asks, optionally, for an email address: it evidences that real people took part and is the only key pairing a respondent's answers before and after use. 29 of the 103 supplied one, 20 of them within the 46, so the paired test runs on at most 20 pairs against a planned 40 and can detect only a large effect. Below ten pairs it is not run at all. Earlier drafts of this pack promised anonymity; that promise is no longer accurate and has been corrected here.</w:t>
      </w:r>
    </w:p>
    <w:p>
      <w:pPr>
        <w:pStyle w:val="Heading1"/>
        <w:spacing w:after="120"/>
      </w:pPr>
      <w:r>
        <w:t>6 · What is built</w:t>
      </w:r>
    </w:p>
    <w:tbl>
      <w:tblPr>
        <w:tblW w:type="auto" w:w="0"/>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4680"/>
        <w:gridCol w:w="4680"/>
      </w:tblGrid>
      <w:tr>
        <w:tc>
          <w:tcPr>
            <w:tcW w:type="dxa" w:w="4680"/>
          </w:tcPr>
          <w:p>
            <w:r>
              <w:rPr>
                <w:b/>
              </w:rPr>
              <w:t>Account types</w:t>
            </w:r>
          </w:p>
        </w:tc>
        <w:tc>
          <w:tcPr>
            <w:tcW w:type="dxa" w:w="4680"/>
          </w:tcPr>
          <w:p>
            <w:r>
              <w:t>Three — Job Seeker, Recruiter/HR, Administrator.</w:t>
            </w:r>
          </w:p>
        </w:tc>
      </w:tr>
      <w:tr>
        <w:tc>
          <w:tcPr>
            <w:tcW w:type="dxa" w:w="4680"/>
          </w:tcPr>
          <w:p>
            <w:r>
              <w:rPr>
                <w:b/>
              </w:rPr>
              <w:t>Resume builder</w:t>
            </w:r>
          </w:p>
        </w:tc>
        <w:tc>
          <w:tcPr>
            <w:tcW w:type="dxa" w:w="4680"/>
          </w:tcPr>
          <w:p>
            <w:r>
              <w:t>Seven steps, 3 content formats, 14 ATS-safe designs, export to PDF, Word and plain text.</w:t>
            </w:r>
          </w:p>
        </w:tc>
      </w:tr>
      <w:tr>
        <w:tc>
          <w:tcPr>
            <w:tcW w:type="dxa" w:w="4680"/>
          </w:tcPr>
          <w:p>
            <w:r>
              <w:rPr>
                <w:b/>
              </w:rPr>
              <w:t>Application statuses</w:t>
            </w:r>
          </w:p>
        </w:tc>
        <w:tc>
          <w:tcPr>
            <w:tcW w:type="dxa" w:w="4680"/>
          </w:tcPr>
          <w:p>
            <w:r>
              <w:t>Six — submitted, review, shortlisted, rejected, hired, withdrawn.</w:t>
            </w:r>
          </w:p>
        </w:tc>
      </w:tr>
      <w:tr>
        <w:tc>
          <w:tcPr>
            <w:tcW w:type="dxa" w:w="4680"/>
          </w:tcPr>
          <w:p>
            <w:r>
              <w:rPr>
                <w:b/>
              </w:rPr>
              <w:t>Skill catalogue</w:t>
            </w:r>
          </w:p>
        </w:tc>
        <w:tc>
          <w:tcPr>
            <w:tcW w:type="dxa" w:w="4680"/>
          </w:tcPr>
          <w:p>
            <w:r>
              <w:t>25 canonical skills, with aliases so "JS" matches "JavaScript".</w:t>
            </w:r>
          </w:p>
        </w:tc>
      </w:tr>
      <w:tr>
        <w:tc>
          <w:tcPr>
            <w:tcW w:type="dxa" w:w="4680"/>
          </w:tcPr>
          <w:p>
            <w:r>
              <w:rPr>
                <w:b/>
              </w:rPr>
              <w:t>Database</w:t>
            </w:r>
          </w:p>
        </w:tc>
        <w:tc>
          <w:tcPr>
            <w:tcW w:type="dxa" w:w="4680"/>
          </w:tcPr>
          <w:p>
            <w:r>
              <w:t>22 tables, PostgreSQL on Supabase. Row level security enabled on every one.</w:t>
            </w:r>
          </w:p>
        </w:tc>
      </w:tr>
      <w:tr>
        <w:tc>
          <w:tcPr>
            <w:tcW w:type="dxa" w:w="4680"/>
          </w:tcPr>
          <w:p>
            <w:r>
              <w:rPr>
                <w:b/>
              </w:rPr>
              <w:t>Size</w:t>
            </w:r>
          </w:p>
        </w:tc>
        <w:tc>
          <w:tcPr>
            <w:tcW w:type="dxa" w:w="4680"/>
          </w:tcPr>
          <w:p>
            <w:r>
              <w:t>18 page components, 12 route files, 56 API endpoints.</w:t>
            </w:r>
          </w:p>
        </w:tc>
      </w:tr>
      <w:tr>
        <w:tc>
          <w:tcPr>
            <w:tcW w:type="dxa" w:w="4680"/>
          </w:tcPr>
          <w:p>
            <w:r>
              <w:rPr>
                <w:b/>
              </w:rPr>
              <w:t>Stack</w:t>
            </w:r>
          </w:p>
        </w:tc>
        <w:tc>
          <w:tcPr>
            <w:tcW w:type="dxa" w:w="4680"/>
          </w:tcPr>
          <w:p>
            <w:r>
              <w:t>Angular 21 in the browser, Node/Express in TypeScript on the server, PostgreSQL. One language across both sides, which is what lets the scoring sum be provably the same in both.</w:t>
            </w:r>
          </w:p>
        </w:tc>
      </w:tr>
    </w:tbl>
    <w:p>
      <w:pPr>
        <w:pStyle w:val="Heading1"/>
        <w:spacing w:after="120"/>
      </w:pPr>
      <w:r>
        <w:t>7 · Verification</w:t>
      </w:r>
    </w:p>
    <w:p>
      <w:pPr>
        <w:spacing w:after="120"/>
      </w:pPr>
      <w:r>
        <w:t>198 automated tests across eight suites, all passing, run in full on every change through continuous integration, which also builds the front end and type-checks the server.</w:t>
      </w:r>
    </w:p>
    <w:tbl>
      <w:tblPr>
        <w:tblW w:type="auto" w:w="0"/>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4680"/>
        <w:gridCol w:w="4680"/>
      </w:tblGrid>
      <w:tr>
        <w:tc>
          <w:tcPr>
            <w:tcW w:type="dxa" w:w="4680"/>
          </w:tcPr>
          <w:p>
            <w:r>
              <w:rPr>
                <w:b/>
              </w:rPr>
              <w:t>Matching engine</w:t>
            </w:r>
          </w:p>
        </w:tc>
        <w:tc>
          <w:tcPr>
            <w:tcW w:type="dxa" w:w="4680"/>
          </w:tcPr>
          <w:p>
            <w:r>
              <w:t>51 — weighting, tier boundaries at exactly 80 and 50, unspecified requirements, the rounding rule, and a 500-pair sweep proving browser and server agree.</w:t>
            </w:r>
          </w:p>
        </w:tc>
      </w:tr>
      <w:tr>
        <w:tc>
          <w:tcPr>
            <w:tcW w:type="dxa" w:w="4680"/>
          </w:tcPr>
          <w:p>
            <w:r>
              <w:rPr>
                <w:b/>
              </w:rPr>
              <w:t>The real server over HTTP</w:t>
            </w:r>
          </w:p>
        </w:tc>
        <w:tc>
          <w:tcPr>
            <w:tcW w:type="dxa" w:w="4680"/>
          </w:tcPr>
          <w:p>
            <w:r>
              <w:t>53 — registration, sign-in, role-based access, one applicant cannot read another's resume, a recruiter sees only their own company.</w:t>
            </w:r>
          </w:p>
        </w:tc>
      </w:tr>
      <w:tr>
        <w:tc>
          <w:tcPr>
            <w:tcW w:type="dxa" w:w="4680"/>
          </w:tcPr>
          <w:p>
            <w:r>
              <w:rPr>
                <w:b/>
              </w:rPr>
              <w:t>Document reader</w:t>
            </w:r>
          </w:p>
        </w:tc>
        <w:tc>
          <w:tcPr>
            <w:tcW w:type="dxa" w:w="4680"/>
          </w:tcPr>
          <w:p>
            <w:r>
              <w:t>45 — including ten fixtures whose readings are asserted unchanged, and a test that no catalogued skill name can be read as a section heading.</w:t>
            </w:r>
          </w:p>
        </w:tc>
      </w:tr>
      <w:tr>
        <w:tc>
          <w:tcPr>
            <w:tcW w:type="dxa" w:w="4680"/>
          </w:tcPr>
          <w:p>
            <w:r>
              <w:rPr>
                <w:b/>
              </w:rPr>
              <w:t>Browser versus server</w:t>
            </w:r>
          </w:p>
        </w:tc>
        <w:tc>
          <w:tcPr>
            <w:tcW w:type="dxa" w:w="4680"/>
          </w:tcPr>
          <w:p>
            <w:r>
              <w:t>13 — the demo build and the real server must agree on what is permitted and on every score.</w:t>
            </w:r>
          </w:p>
        </w:tc>
      </w:tr>
      <w:tr>
        <w:tc>
          <w:tcPr>
            <w:tcW w:type="dxa" w:w="4680"/>
          </w:tcPr>
          <w:p>
            <w:r>
              <w:rPr>
                <w:b/>
              </w:rPr>
              <w:t>Email</w:t>
            </w:r>
          </w:p>
        </w:tc>
        <w:tc>
          <w:tcPr>
            <w:tcW w:type="dxa" w:w="4680"/>
          </w:tcPr>
          <w:p>
            <w:r>
              <w:t>10 — every message is actually delivered, received from a local mail server.</w:t>
            </w:r>
          </w:p>
        </w:tc>
      </w:tr>
      <w:tr>
        <w:tc>
          <w:tcPr>
            <w:tcW w:type="dxa" w:w="4680"/>
          </w:tcPr>
          <w:p>
            <w:r>
              <w:rPr>
                <w:b/>
              </w:rPr>
              <w:t>Extraction</w:t>
            </w:r>
          </w:p>
        </w:tc>
        <w:tc>
          <w:tcPr>
            <w:tcW w:type="dxa" w:w="4680"/>
          </w:tcPr>
          <w:p>
            <w:r>
              <w:t>10 — the model's output is treated as untrusted and cannot put unbounded or invalid values into a resume.</w:t>
            </w:r>
          </w:p>
        </w:tc>
      </w:tr>
      <w:tr>
        <w:tc>
          <w:tcPr>
            <w:tcW w:type="dxa" w:w="4680"/>
          </w:tcPr>
          <w:p>
            <w:r>
              <w:rPr>
                <w:b/>
              </w:rPr>
              <w:t>File storage</w:t>
            </w:r>
          </w:p>
        </w:tc>
        <w:tc>
          <w:tcPr>
            <w:tcW w:type="dxa" w:w="4680"/>
          </w:tcPr>
          <w:p>
            <w:r>
              <w:t>10 — the two storage backends behave identically and a key cannot escape its folder.</w:t>
            </w:r>
          </w:p>
        </w:tc>
      </w:tr>
      <w:tr>
        <w:tc>
          <w:tcPr>
            <w:tcW w:type="dxa" w:w="4680"/>
          </w:tcPr>
          <w:p>
            <w:r>
              <w:rPr>
                <w:b/>
              </w:rPr>
              <w:t>Mail transport</w:t>
            </w:r>
          </w:p>
        </w:tc>
        <w:tc>
          <w:tcPr>
            <w:tcW w:type="dxa" w:w="4680"/>
          </w:tcPr>
          <w:p>
            <w:r>
              <w:t>6 — which transport is chosen, and that a rejected send raises an error rather than passing silently.</w:t>
            </w:r>
          </w:p>
        </w:tc>
      </w:tr>
    </w:tbl>
    <w:p>
      <w:pPr>
        <w:spacing w:after="120"/>
      </w:pPr>
      <w:r>
        <w:t>If asked how you know the tests test anything: we broke it on purpose. Reverting the line that freezes a score at the moment of application made the test fail, which is what a test is for.</w:t>
      </w:r>
    </w:p>
    <w:p>
      <w:pPr>
        <w:pStyle w:val="Heading1"/>
        <w:spacing w:after="120"/>
      </w:pPr>
      <w:r>
        <w:t>8 · The promises the system makes to an applicant</w:t>
      </w:r>
    </w:p>
    <w:p>
      <w:pPr>
        <w:spacing w:after="120"/>
      </w:pPr>
      <w:r>
        <w:t>Nobody is ever rejected automatically. A low score changes what the system recommends, never whether the application is received, and every status change records the name of the recruiter who made it, so responsibility rests with a person.</w:t>
      </w:r>
    </w:p>
    <w:p>
      <w:pPr>
        <w:spacing w:after="120"/>
      </w:pPr>
      <w:r>
        <w:t>The scoring is transparent to the person being scored: the weights are published in the system, each applicant sees the score any opening gives them, and they are told how many required skills are missing and of what kind. Applicants can download everything the system holds about them and can delete their account and its contents from inside the system.</w:t>
      </w:r>
    </w:p>
    <w:p>
      <w:pPr>
        <w:pStyle w:val="Heading1"/>
        <w:spacing w:after="120"/>
      </w:pPr>
      <w:r>
        <w:t>9 · Where the honest weak points are</w:t>
      </w:r>
    </w:p>
    <w:p>
      <w:pPr>
        <w:spacing w:after="120"/>
      </w:pPr>
      <w:r>
        <w:t>Know these before the panel finds them. Each is stated in the paper.</w:t>
      </w:r>
    </w:p>
    <w:tbl>
      <w:tblPr>
        <w:tblW w:type="auto" w:w="0"/>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4680"/>
        <w:gridCol w:w="4680"/>
      </w:tblGrid>
      <w:tr>
        <w:tc>
          <w:tcPr>
            <w:tcW w:type="dxa" w:w="4680"/>
          </w:tcPr>
          <w:p>
            <w:r>
              <w:rPr>
                <w:b/>
              </w:rPr>
              <w:t>Self-evaluation</w:t>
            </w:r>
          </w:p>
        </w:tc>
        <w:tc>
          <w:tcPr>
            <w:tcW w:type="dxa" w:w="4680"/>
          </w:tcPr>
          <w:p>
            <w:r>
              <w:t>The system was built by the people evaluating it. Four measures limit that and none removes it.</w:t>
            </w:r>
          </w:p>
        </w:tc>
      </w:tr>
      <w:tr>
        <w:tc>
          <w:tcPr>
            <w:tcW w:type="dxa" w:w="4680"/>
          </w:tcPr>
          <w:p>
            <w:r>
              <w:rPr>
                <w:b/>
              </w:rPr>
              <w:t>Skills are not verified</w:t>
            </w:r>
          </w:p>
        </w:tc>
        <w:tc>
          <w:tcPr>
            <w:tcW w:type="dxa" w:w="4680"/>
          </w:tcPr>
          <w:p>
            <w:r>
              <w:t>The system does not check that a claimed skill is real. Verification is a different study.</w:t>
            </w:r>
          </w:p>
        </w:tc>
      </w:tr>
      <w:tr>
        <w:tc>
          <w:tcPr>
            <w:tcW w:type="dxa" w:w="4680"/>
          </w:tcPr>
          <w:p>
            <w:r>
              <w:rPr>
                <w:b/>
              </w:rPr>
              <w:t>Experience is not checked for relevance</w:t>
            </w:r>
          </w:p>
        </w:tc>
        <w:tc>
          <w:tcPr>
            <w:tcW w:type="dxa" w:w="4680"/>
          </w:tcPr>
          <w:p>
            <w:r>
              <w:t>It adds up months. Two years in a call centre and two years in bookkeeping count the same.</w:t>
            </w:r>
          </w:p>
        </w:tc>
      </w:tr>
      <w:tr>
        <w:tc>
          <w:tcPr>
            <w:tcW w:type="dxa" w:w="4680"/>
          </w:tcPr>
          <w:p>
            <w:r>
              <w:rPr>
                <w:b/>
              </w:rPr>
              <w:t>Reliability over time</w:t>
            </w:r>
          </w:p>
        </w:tc>
        <w:tc>
          <w:tcPr>
            <w:tcW w:type="dxa" w:w="4680"/>
          </w:tcPr>
          <w:p>
            <w:r>
              <w:t>A single session cannot establish it. The reliability items report what respondents met in their own session, and the automated testing carries the rest.</w:t>
            </w:r>
          </w:p>
        </w:tc>
      </w:tr>
      <w:tr>
        <w:tc>
          <w:tcPr>
            <w:tcW w:type="dxa" w:w="4680"/>
          </w:tcPr>
          <w:p>
            <w:r>
              <w:rPr>
                <w:b/>
              </w:rPr>
              <w:t>The reader degrades on hard layouts</w:t>
            </w:r>
          </w:p>
        </w:tc>
        <w:tc>
          <w:tcPr>
            <w:tcW w:type="dxa" w:w="4680"/>
          </w:tcPr>
          <w:p>
            <w:r>
              <w:t>It reads a plain single-column resume well and a two-column or scanned one badly — which is the failure the study argues applicants are subjected to without being told.</w:t>
            </w:r>
          </w:p>
        </w:tc>
      </w:tr>
      <w:tr>
        <w:tc>
          <w:tcPr>
            <w:tcW w:type="dxa" w:w="4680"/>
          </w:tcPr>
          <w:p>
            <w:r>
              <w:rPr>
                <w:b/>
              </w:rPr>
              <w:t>The paired test is under-powered</w:t>
            </w:r>
          </w:p>
        </w:tc>
        <w:tc>
          <w:tcPr>
            <w:tcW w:type="dxa" w:w="4680"/>
          </w:tcPr>
          <w:p>
            <w:r>
              <w:t>At most 20 pairs. A null result means not detected at this size, never that no change occurred.</w:t>
            </w:r>
          </w:p>
        </w:tc>
      </w:tr>
    </w:tbl>
    <w:p>
      <w:pPr>
        <w:pStyle w:val="Heading1"/>
        <w:spacing w:after="120"/>
      </w:pPr>
      <w:r>
        <w:rPr>
          <w:b w:val="0"/>
          <w:i w:val="0"/>
        </w:rPr>
        <w:t>10 · Word list</w:t>
      </w:r>
    </w:p>
    <w:p>
      <w:pPr>
        <w:spacing w:after="120"/>
      </w:pPr>
      <w:r>
        <w:rPr>
          <w:b w:val="0"/>
          <w:i w:val="0"/>
        </w:rPr>
        <w:t>Every term in this pack that is not an ordinary English word. The pack keeps the technical words rather than avoiding them, because the panel will use them and you need to answer in the same language — so they are all defined here instead.</w:t>
      </w:r>
    </w:p>
    <w:tbl>
      <w:tblPr>
        <w:tblW w:type="auto" w:w="0"/>
        <w:tblLook w:firstColumn="1" w:firstRow="1" w:lastColumn="0" w:lastRow="0" w:noHBand="0" w:noVBand="1" w:val="04A0"/>
        <w:tblBorders>
          <w:top w:val="single" w:sz="6" w:color="BFBFBF"/>
          <w:left w:val="single" w:sz="6" w:color="BFBFBF"/>
          <w:bottom w:val="single" w:sz="6" w:color="BFBFBF"/>
          <w:right w:val="single" w:sz="6" w:color="BFBFBF"/>
          <w:insideH w:val="single" w:sz="6" w:color="BFBFBF"/>
          <w:insideV w:val="single" w:sz="6" w:color="BFBFBF"/>
        </w:tblBorders>
      </w:tblPr>
      <w:tblGrid>
        <w:gridCol w:w="4680"/>
        <w:gridCol w:w="4680"/>
      </w:tblGrid>
      <w:tr>
        <w:tc>
          <w:tcPr>
            <w:tcW w:type="dxa" w:w="4680"/>
          </w:tcPr>
          <w:p>
            <w:r>
              <w:rPr>
                <w:b/>
              </w:rPr>
              <w:t>adapter</w:t>
            </w:r>
          </w:p>
        </w:tc>
        <w:tc>
          <w:tcPr>
            <w:tcW w:type="dxa" w:w="4680"/>
          </w:tcPr>
          <w:p>
            <w:r>
              <w:t>The piece that decides where data comes from. One talks to our real server; the other pretends to be a server inside the browser, for the demo.</w:t>
            </w:r>
          </w:p>
        </w:tc>
      </w:tr>
      <w:tr>
        <w:tc>
          <w:tcPr>
            <w:tcW w:type="dxa" w:w="4680"/>
          </w:tcPr>
          <w:p>
            <w:r>
              <w:rPr>
                <w:b/>
              </w:rPr>
              <w:t>API</w:t>
            </w:r>
          </w:p>
        </w:tc>
        <w:tc>
          <w:tcPr>
            <w:tcW w:type="dxa" w:w="4680"/>
          </w:tcPr>
          <w:p>
            <w:r>
              <w:t>The list of things the browser is allowed to ask the server to do. Each one is an endpoint.</w:t>
            </w:r>
          </w:p>
        </w:tc>
      </w:tr>
      <w:tr>
        <w:tc>
          <w:tcPr>
            <w:tcW w:type="dxa" w:w="4680"/>
          </w:tcPr>
          <w:p>
            <w:r>
              <w:rPr>
                <w:b/>
              </w:rPr>
              <w:t>endpoint</w:t>
            </w:r>
          </w:p>
        </w:tc>
        <w:tc>
          <w:tcPr>
            <w:tcW w:type="dxa" w:w="4680"/>
          </w:tcPr>
          <w:p>
            <w:r>
              <w:t>One address the browser can call, like "log me in" or "save this resume". We have 56.</w:t>
            </w:r>
          </w:p>
        </w:tc>
      </w:tr>
      <w:tr>
        <w:tc>
          <w:tcPr>
            <w:tcW w:type="dxa" w:w="4680"/>
          </w:tcPr>
          <w:p>
            <w:r>
              <w:rPr>
                <w:b/>
              </w:rPr>
              <w:t>back end / server</w:t>
            </w:r>
          </w:p>
        </w:tc>
        <w:tc>
          <w:tcPr>
            <w:tcW w:type="dxa" w:w="4680"/>
          </w:tcPr>
          <w:p>
            <w:r>
              <w:t>The program running on a computer elsewhere that holds the data and decides who may see it.</w:t>
            </w:r>
          </w:p>
        </w:tc>
      </w:tr>
      <w:tr>
        <w:tc>
          <w:tcPr>
            <w:tcW w:type="dxa" w:w="4680"/>
          </w:tcPr>
          <w:p>
            <w:r>
              <w:rPr>
                <w:b/>
              </w:rPr>
              <w:t>front end / client</w:t>
            </w:r>
          </w:p>
        </w:tc>
        <w:tc>
          <w:tcPr>
            <w:tcW w:type="dxa" w:w="4680"/>
          </w:tcPr>
          <w:p>
            <w:r>
              <w:t>The part that runs in your browser and draws the pages.</w:t>
            </w:r>
          </w:p>
        </w:tc>
      </w:tr>
      <w:tr>
        <w:tc>
          <w:tcPr>
            <w:tcW w:type="dxa" w:w="4680"/>
          </w:tcPr>
          <w:p>
            <w:r>
              <w:rPr>
                <w:b/>
              </w:rPr>
              <w:t>schema</w:t>
            </w:r>
          </w:p>
        </w:tc>
        <w:tc>
          <w:tcPr>
            <w:tcW w:type="dxa" w:w="4680"/>
          </w:tcPr>
          <w:p>
            <w:r>
              <w:t>The plan of the database: what tables exist and what each column holds. Ours has 22 tables.</w:t>
            </w:r>
          </w:p>
        </w:tc>
      </w:tr>
      <w:tr>
        <w:tc>
          <w:tcPr>
            <w:tcW w:type="dxa" w:w="4680"/>
          </w:tcPr>
          <w:p>
            <w:r>
              <w:rPr>
                <w:b/>
              </w:rPr>
              <w:t>migration</w:t>
            </w:r>
          </w:p>
        </w:tc>
        <w:tc>
          <w:tcPr>
            <w:tcW w:type="dxa" w:w="4680"/>
          </w:tcPr>
          <w:p>
            <w:r>
              <w:t>A change to that plan applied to a database that already has data in it, without losing the data.</w:t>
            </w:r>
          </w:p>
        </w:tc>
      </w:tr>
      <w:tr>
        <w:tc>
          <w:tcPr>
            <w:tcW w:type="dxa" w:w="4680"/>
          </w:tcPr>
          <w:p>
            <w:r>
              <w:rPr>
                <w:b/>
              </w:rPr>
              <w:t>idempotent</w:t>
            </w:r>
          </w:p>
        </w:tc>
        <w:tc>
          <w:tcPr>
            <w:tcW w:type="dxa" w:w="4680"/>
          </w:tcPr>
          <w:p>
            <w:r>
              <w:t>Safe to run twice. Running it again changes nothing, so a restart cannot do damage.</w:t>
            </w:r>
          </w:p>
        </w:tc>
      </w:tr>
      <w:tr>
        <w:tc>
          <w:tcPr>
            <w:tcW w:type="dxa" w:w="4680"/>
          </w:tcPr>
          <w:p>
            <w:r>
              <w:rPr>
                <w:b/>
              </w:rPr>
              <w:t>transaction</w:t>
            </w:r>
          </w:p>
        </w:tc>
        <w:tc>
          <w:tcPr>
            <w:tcW w:type="dxa" w:w="4680"/>
          </w:tcPr>
          <w:p>
            <w:r>
              <w:t>A group of steps that must all succeed or all be undone. Stops half-finished changes.</w:t>
            </w:r>
          </w:p>
        </w:tc>
      </w:tr>
      <w:tr>
        <w:tc>
          <w:tcPr>
            <w:tcW w:type="dxa" w:w="4680"/>
          </w:tcPr>
          <w:p>
            <w:r>
              <w:rPr>
                <w:b/>
              </w:rPr>
              <w:t>rollback</w:t>
            </w:r>
          </w:p>
        </w:tc>
        <w:tc>
          <w:tcPr>
            <w:tcW w:type="dxa" w:w="4680"/>
          </w:tcPr>
          <w:p>
            <w:r>
              <w:t>Undoing a transaction, putting everything back as it was.</w:t>
            </w:r>
          </w:p>
        </w:tc>
      </w:tr>
      <w:tr>
        <w:tc>
          <w:tcPr>
            <w:tcW w:type="dxa" w:w="4680"/>
          </w:tcPr>
          <w:p>
            <w:r>
              <w:rPr>
                <w:b/>
              </w:rPr>
              <w:t>query</w:t>
            </w:r>
          </w:p>
        </w:tc>
        <w:tc>
          <w:tcPr>
            <w:tcW w:type="dxa" w:w="4680"/>
          </w:tcPr>
          <w:p>
            <w:r>
              <w:t>A question asked of the database.</w:t>
            </w:r>
          </w:p>
        </w:tc>
      </w:tr>
      <w:tr>
        <w:tc>
          <w:tcPr>
            <w:tcW w:type="dxa" w:w="4680"/>
          </w:tcPr>
          <w:p>
            <w:r>
              <w:rPr>
                <w:b/>
              </w:rPr>
              <w:t>index</w:t>
            </w:r>
          </w:p>
        </w:tc>
        <w:tc>
          <w:tcPr>
            <w:tcW w:type="dxa" w:w="4680"/>
          </w:tcPr>
          <w:p>
            <w:r>
              <w:t>A shortcut the database keeps so it can find rows without reading the whole table.</w:t>
            </w:r>
          </w:p>
        </w:tc>
      </w:tr>
      <w:tr>
        <w:tc>
          <w:tcPr>
            <w:tcW w:type="dxa" w:w="4680"/>
          </w:tcPr>
          <w:p>
            <w:r>
              <w:rPr>
                <w:b/>
              </w:rPr>
              <w:t>foreign key</w:t>
            </w:r>
          </w:p>
        </w:tc>
        <w:tc>
          <w:tcPr>
            <w:tcW w:type="dxa" w:w="4680"/>
          </w:tcPr>
          <w:p>
            <w:r>
              <w:t>A column pointing at a row in another table, so the database knows an application belongs to a person.</w:t>
            </w:r>
          </w:p>
        </w:tc>
      </w:tr>
      <w:tr>
        <w:tc>
          <w:tcPr>
            <w:tcW w:type="dxa" w:w="4680"/>
          </w:tcPr>
          <w:p>
            <w:r>
              <w:rPr>
                <w:b/>
              </w:rPr>
              <w:t>cascade</w:t>
            </w:r>
          </w:p>
        </w:tc>
        <w:tc>
          <w:tcPr>
            <w:tcW w:type="dxa" w:w="4680"/>
          </w:tcPr>
          <w:p>
            <w:r>
              <w:t>When deleting a row deletes the rows that point at it. Deleting an account deletes its applications.</w:t>
            </w:r>
          </w:p>
        </w:tc>
      </w:tr>
      <w:tr>
        <w:tc>
          <w:tcPr>
            <w:tcW w:type="dxa" w:w="4680"/>
          </w:tcPr>
          <w:p>
            <w:r>
              <w:rPr>
                <w:b/>
              </w:rPr>
              <w:t>constraint / CHECK constraint</w:t>
            </w:r>
          </w:p>
        </w:tc>
        <w:tc>
          <w:tcPr>
            <w:tcW w:type="dxa" w:w="4680"/>
          </w:tcPr>
          <w:p>
            <w:r>
              <w:t>A rule the database enforces itself, so bad data cannot get in even if the code has a bug.</w:t>
            </w:r>
          </w:p>
        </w:tc>
      </w:tr>
      <w:tr>
        <w:tc>
          <w:tcPr>
            <w:tcW w:type="dxa" w:w="4680"/>
          </w:tcPr>
          <w:p>
            <w:r>
              <w:rPr>
                <w:b/>
              </w:rPr>
              <w:t>normal form</w:t>
            </w:r>
          </w:p>
        </w:tc>
        <w:tc>
          <w:tcPr>
            <w:tcW w:type="dxa" w:w="4680"/>
          </w:tcPr>
          <w:p>
            <w:r>
              <w:t>How tidily a database avoids storing the same fact twice. We are in third normal form, with one deliberate exception.</w:t>
            </w:r>
          </w:p>
        </w:tc>
      </w:tr>
      <w:tr>
        <w:tc>
          <w:tcPr>
            <w:tcW w:type="dxa" w:w="4680"/>
          </w:tcPr>
          <w:p>
            <w:r>
              <w:rPr>
                <w:b/>
              </w:rPr>
              <w:t>hash / hashing</w:t>
            </w:r>
          </w:p>
        </w:tc>
        <w:tc>
          <w:tcPr>
            <w:tcW w:type="dxa" w:w="4680"/>
          </w:tcPr>
          <w:p>
            <w:r>
              <w:t>A one-way scramble. We store the scramble of a password, never the password, so it cannot be read back.</w:t>
            </w:r>
          </w:p>
        </w:tc>
      </w:tr>
      <w:tr>
        <w:tc>
          <w:tcPr>
            <w:tcW w:type="dxa" w:w="4680"/>
          </w:tcPr>
          <w:p>
            <w:r>
              <w:rPr>
                <w:b/>
              </w:rPr>
              <w:t>session</w:t>
            </w:r>
          </w:p>
        </w:tc>
        <w:tc>
          <w:tcPr>
            <w:tcW w:type="dxa" w:w="4680"/>
          </w:tcPr>
          <w:p>
            <w:r>
              <w:t>The record that you are signed in. Ours lives in the database, and the browser only holds a random id for it.</w:t>
            </w:r>
          </w:p>
        </w:tc>
      </w:tr>
      <w:tr>
        <w:tc>
          <w:tcPr>
            <w:tcW w:type="dxa" w:w="4680"/>
          </w:tcPr>
          <w:p>
            <w:r>
              <w:rPr>
                <w:b/>
              </w:rPr>
              <w:t>guard</w:t>
            </w:r>
          </w:p>
        </w:tc>
        <w:tc>
          <w:tcPr>
            <w:tcW w:type="dxa" w:w="4680"/>
          </w:tcPr>
          <w:p>
            <w:r>
              <w:t>A check that runs before a page opens, to send you somewhere else if that page is not for you.</w:t>
            </w:r>
          </w:p>
        </w:tc>
      </w:tr>
      <w:tr>
        <w:tc>
          <w:tcPr>
            <w:tcW w:type="dxa" w:w="4680"/>
          </w:tcPr>
          <w:p>
            <w:r>
              <w:rPr>
                <w:b/>
              </w:rPr>
              <w:t>middleware</w:t>
            </w:r>
          </w:p>
        </w:tc>
        <w:tc>
          <w:tcPr>
            <w:tcW w:type="dxa" w:w="4680"/>
          </w:tcPr>
          <w:p>
            <w:r>
              <w:t>Code that every request passes through on the way in, for things like checking who is asking.</w:t>
            </w:r>
          </w:p>
        </w:tc>
      </w:tr>
      <w:tr>
        <w:tc>
          <w:tcPr>
            <w:tcW w:type="dxa" w:w="4680"/>
          </w:tcPr>
          <w:p>
            <w:r>
              <w:rPr>
                <w:b/>
              </w:rPr>
              <w:t>serialiser</w:t>
            </w:r>
          </w:p>
        </w:tc>
        <w:tc>
          <w:tcPr>
            <w:tcW w:type="dxa" w:w="4680"/>
          </w:tcPr>
          <w:p>
            <w:r>
              <w:t>The step that turns a database row into the shape the browser expects, so the two can change independently.</w:t>
            </w:r>
          </w:p>
        </w:tc>
      </w:tr>
      <w:tr>
        <w:tc>
          <w:tcPr>
            <w:tcW w:type="dxa" w:w="4680"/>
          </w:tcPr>
          <w:p>
            <w:r>
              <w:rPr>
                <w:b/>
              </w:rPr>
              <w:t>parser / to parse</w:t>
            </w:r>
          </w:p>
        </w:tc>
        <w:tc>
          <w:tcPr>
            <w:tcW w:type="dxa" w:w="4680"/>
          </w:tcPr>
          <w:p>
            <w:r>
              <w:t>Reading a document and pulling out the facts. Our parser reads an uploaded resume into fields.</w:t>
            </w:r>
          </w:p>
        </w:tc>
      </w:tr>
      <w:tr>
        <w:tc>
          <w:tcPr>
            <w:tcW w:type="dxa" w:w="4680"/>
          </w:tcPr>
          <w:p>
            <w:r>
              <w:rPr>
                <w:b/>
              </w:rPr>
              <w:t>signal</w:t>
            </w:r>
          </w:p>
        </w:tc>
        <w:tc>
          <w:tcPr>
            <w:tcW w:type="dxa" w:w="4680"/>
          </w:tcPr>
          <w:p>
            <w:r>
              <w:t>A value that pages watch. When it changes, everything showing it updates by itself.</w:t>
            </w:r>
          </w:p>
        </w:tc>
      </w:tr>
      <w:tr>
        <w:tc>
          <w:tcPr>
            <w:tcW w:type="dxa" w:w="4680"/>
          </w:tcPr>
          <w:p>
            <w:r>
              <w:rPr>
                <w:b/>
              </w:rPr>
              <w:t>N+1</w:t>
            </w:r>
          </w:p>
        </w:tc>
        <w:tc>
          <w:tcPr>
            <w:tcW w:type="dxa" w:w="4680"/>
          </w:tcPr>
          <w:p>
            <w:r>
              <w:t>A slow pattern: asking the database once per row instead of once for the whole list. We have one, in the ranked applicant list.</w:t>
            </w:r>
          </w:p>
        </w:tc>
      </w:tr>
      <w:tr>
        <w:tc>
          <w:tcPr>
            <w:tcW w:type="dxa" w:w="4680"/>
          </w:tcPr>
          <w:p>
            <w:r>
              <w:rPr>
                <w:b/>
              </w:rPr>
              <w:t>deterministic</w:t>
            </w:r>
          </w:p>
        </w:tc>
        <w:tc>
          <w:tcPr>
            <w:tcW w:type="dxa" w:w="4680"/>
          </w:tcPr>
          <w:p>
            <w:r>
              <w:t>Same input, same answer, every time. Our scoring is deterministic; a language model is not.</w:t>
            </w:r>
          </w:p>
        </w:tc>
      </w:tr>
      <w:tr>
        <w:tc>
          <w:tcPr>
            <w:tcW w:type="dxa" w:w="4680"/>
          </w:tcPr>
          <w:p>
            <w:r>
              <w:rPr>
                <w:b/>
              </w:rPr>
              <w:t>canonical</w:t>
            </w:r>
          </w:p>
        </w:tc>
        <w:tc>
          <w:tcPr>
            <w:tcW w:type="dxa" w:w="4680"/>
          </w:tcPr>
          <w:p>
            <w:r>
              <w:t>The one official spelling. "JS" and "JavaScript" both point at one canonical skill.</w:t>
            </w:r>
          </w:p>
        </w:tc>
      </w:tr>
      <w:tr>
        <w:tc>
          <w:tcPr>
            <w:tcW w:type="dxa" w:w="4680"/>
          </w:tcPr>
          <w:p>
            <w:r>
              <w:rPr>
                <w:b/>
              </w:rPr>
              <w:t>regression test</w:t>
            </w:r>
          </w:p>
        </w:tc>
        <w:tc>
          <w:tcPr>
            <w:tcW w:type="dxa" w:w="4680"/>
          </w:tcPr>
          <w:p>
            <w:r>
              <w:t>A test that catches an old bug coming back. We run 198 of them on every change.</w:t>
            </w:r>
          </w:p>
        </w:tc>
      </w:tr>
      <w:tr>
        <w:tc>
          <w:tcPr>
            <w:tcW w:type="dxa" w:w="4680"/>
          </w:tcPr>
          <w:p>
            <w:r>
              <w:rPr>
                <w:b/>
              </w:rPr>
              <w:t>bundle</w:t>
            </w:r>
          </w:p>
        </w:tc>
        <w:tc>
          <w:tcPr>
            <w:tcW w:type="dxa" w:w="4680"/>
          </w:tcPr>
          <w:p>
            <w:r>
              <w:t>The packed-up code the browser downloads to run the site.</w:t>
            </w:r>
          </w:p>
        </w:tc>
      </w:tr>
      <w:tr>
        <w:tc>
          <w:tcPr>
            <w:tcW w:type="dxa" w:w="4680"/>
          </w:tcPr>
          <w:p>
            <w:r>
              <w:rPr>
                <w:b/>
              </w:rPr>
              <w:t>render</w:t>
            </w:r>
          </w:p>
        </w:tc>
        <w:tc>
          <w:tcPr>
            <w:tcW w:type="dxa" w:w="4680"/>
          </w:tcPr>
          <w:p>
            <w:r>
              <w:t>To draw something on screen.</w:t>
            </w:r>
          </w:p>
        </w:tc>
      </w:tr>
      <w:tr>
        <w:tc>
          <w:tcPr>
            <w:tcW w:type="dxa" w:w="4680"/>
          </w:tcPr>
          <w:p>
            <w:r>
              <w:rPr>
                <w:b/>
              </w:rPr>
              <w:t>refactor</w:t>
            </w:r>
          </w:p>
        </w:tc>
        <w:tc>
          <w:tcPr>
            <w:tcW w:type="dxa" w:w="4680"/>
          </w:tcPr>
          <w:p>
            <w:r>
              <w:t>Rewriting code so it is easier to work with, without changing what it does.</w:t>
            </w:r>
          </w:p>
        </w:tc>
      </w:tr>
      <w:tr>
        <w:tc>
          <w:tcPr>
            <w:tcW w:type="dxa" w:w="4680"/>
          </w:tcPr>
          <w:p>
            <w:r>
              <w:rPr>
                <w:b/>
              </w:rPr>
              <w:t>runtime</w:t>
            </w:r>
          </w:p>
        </w:tc>
        <w:tc>
          <w:tcPr>
            <w:tcW w:type="dxa" w:w="4680"/>
          </w:tcPr>
          <w:p>
            <w:r>
              <w:t>While the program is actually running, as opposed to while it is being built.</w:t>
            </w:r>
          </w:p>
        </w:tc>
      </w:tr>
      <w:tr>
        <w:tc>
          <w:tcPr>
            <w:tcW w:type="dxa" w:w="4680"/>
          </w:tcPr>
          <w:p>
            <w:r>
              <w:rPr>
                <w:b/>
              </w:rPr>
              <w:t>delimitation</w:t>
            </w:r>
          </w:p>
        </w:tc>
        <w:tc>
          <w:tcPr>
            <w:tcW w:type="dxa" w:w="4680"/>
          </w:tcPr>
          <w:p>
            <w:r>
              <w:t>Something we chose to leave out. Different from a limitation, which is something we could not control.</w:t>
            </w:r>
          </w:p>
        </w:tc>
      </w:tr>
      <w:tr>
        <w:tc>
          <w:tcPr>
            <w:tcW w:type="dxa" w:w="4680"/>
          </w:tcPr>
          <w:p>
            <w:r>
              <w:rPr>
                <w:b/>
              </w:rPr>
              <w:t>limitation</w:t>
            </w:r>
          </w:p>
        </w:tc>
        <w:tc>
          <w:tcPr>
            <w:tcW w:type="dxa" w:w="4680"/>
          </w:tcPr>
          <w:p>
            <w:r>
              <w:t>A weakness we did not choose and cannot remove, like being the people who built the thing we are evaluating.</w:t>
            </w:r>
          </w:p>
        </w:tc>
      </w:tr>
      <w:tr>
        <w:tc>
          <w:tcPr>
            <w:tcW w:type="dxa" w:w="4680"/>
          </w:tcPr>
          <w:p>
            <w:r>
              <w:rPr>
                <w:b/>
              </w:rPr>
              <w:t>purposive sampling</w:t>
            </w:r>
          </w:p>
        </w:tc>
        <w:tc>
          <w:tcPr>
            <w:tcW w:type="dxa" w:w="4680"/>
          </w:tcPr>
          <w:p>
            <w:r>
              <w:t>Choosing respondents because they fit the study, not at random. It means we cannot generalise, and we say so.</w:t>
            </w:r>
          </w:p>
        </w:tc>
      </w:tr>
      <w:tr>
        <w:tc>
          <w:tcPr>
            <w:tcW w:type="dxa" w:w="4680"/>
          </w:tcPr>
          <w:p>
            <w:r>
              <w:rPr>
                <w:b/>
              </w:rPr>
              <w:t>non-probability</w:t>
            </w:r>
          </w:p>
        </w:tc>
        <w:tc>
          <w:tcPr>
            <w:tcW w:type="dxa" w:w="4680"/>
          </w:tcPr>
          <w:p>
            <w:r>
              <w:t>Any sampling where people were not picked at random. Purposive sampling is one kind.</w:t>
            </w:r>
          </w:p>
        </w:tc>
      </w:tr>
      <w:tr>
        <w:tc>
          <w:tcPr>
            <w:tcW w:type="dxa" w:w="4680"/>
          </w:tcPr>
          <w:p>
            <w:r>
              <w:rPr>
                <w:b/>
              </w:rPr>
              <w:t>weighted mean</w:t>
            </w:r>
          </w:p>
        </w:tc>
        <w:tc>
          <w:tcPr>
            <w:tcW w:type="dxa" w:w="4680"/>
          </w:tcPr>
          <w:p>
            <w:r>
              <w:t>An average where each answer counts by how many people gave it. Add up (score x how many), divide by how many answered.</w:t>
            </w:r>
          </w:p>
        </w:tc>
      </w:tr>
      <w:tr>
        <w:tc>
          <w:tcPr>
            <w:tcW w:type="dxa" w:w="4680"/>
          </w:tcPr>
          <w:p>
            <w:r>
              <w:rPr>
                <w:b/>
              </w:rPr>
              <w:t>standard deviation</w:t>
            </w:r>
          </w:p>
        </w:tc>
        <w:tc>
          <w:tcPr>
            <w:tcW w:type="dxa" w:w="4680"/>
          </w:tcPr>
          <w:p>
            <w:r>
              <w:t>How spread out the answers were. A small number means people agreed; a large one means they split.</w:t>
            </w:r>
          </w:p>
        </w:tc>
      </w:tr>
      <w:tr>
        <w:tc>
          <w:tcPr>
            <w:tcW w:type="dxa" w:w="4680"/>
          </w:tcPr>
          <w:p>
            <w:r>
              <w:rPr>
                <w:b/>
              </w:rPr>
              <w:t>ordinal</w:t>
            </w:r>
          </w:p>
        </w:tc>
        <w:tc>
          <w:tcPr>
            <w:tcW w:type="dxa" w:w="4680"/>
          </w:tcPr>
          <w:p>
            <w:r>
              <w:t>Data with an order but no fixed gap between the points. "Agree" is above "neutral", but not by a measurable amount.</w:t>
            </w:r>
          </w:p>
        </w:tc>
      </w:tr>
      <w:tr>
        <w:tc>
          <w:tcPr>
            <w:tcW w:type="dxa" w:w="4680"/>
          </w:tcPr>
          <w:p>
            <w:r>
              <w:rPr>
                <w:b/>
              </w:rPr>
              <w:t>null hypothesis</w:t>
            </w:r>
          </w:p>
        </w:tc>
        <w:tc>
          <w:tcPr>
            <w:tcW w:type="dxa" w:w="4680"/>
          </w:tcPr>
          <w:p>
            <w:r>
              <w:t>The starting assumption that nothing changed. A test either finds enough evidence against it, or does not.</w:t>
            </w:r>
          </w:p>
        </w:tc>
      </w:tr>
      <w:tr>
        <w:tc>
          <w:tcPr>
            <w:tcW w:type="dxa" w:w="4680"/>
          </w:tcPr>
          <w:p>
            <w:r>
              <w:rPr>
                <w:b/>
              </w:rPr>
              <w:t>effect size</w:t>
            </w:r>
          </w:p>
        </w:tc>
        <w:tc>
          <w:tcPr>
            <w:tcW w:type="dxa" w:w="4680"/>
          </w:tcPr>
          <w:p>
            <w:r>
              <w:t>How big a change is, as opposed to whether it exists. A p-value says something happened; the effect size says how much.</w:t>
            </w:r>
          </w:p>
        </w:tc>
      </w:tr>
      <w:tr>
        <w:tc>
          <w:tcPr>
            <w:tcW w:type="dxa" w:w="4680"/>
          </w:tcPr>
          <w:p>
            <w:r>
              <w:rPr>
                <w:b/>
              </w:rPr>
              <w:t>power calculation</w:t>
            </w:r>
          </w:p>
        </w:tc>
        <w:tc>
          <w:tcPr>
            <w:tcW w:type="dxa" w:w="4680"/>
          </w:tcPr>
          <w:p>
            <w:r>
              <w:t>Working out how many respondents you need to detect a given size of change. We did NOT do one, and must not say we did.</w:t>
            </w:r>
          </w:p>
        </w:tc>
      </w:tr>
      <w:tr>
        <w:tc>
          <w:tcPr>
            <w:tcW w:type="dxa" w:w="4680"/>
          </w:tcPr>
          <w:p>
            <w:r>
              <w:rPr>
                <w:b/>
              </w:rPr>
              <w:t>Wilcoxon signed-rank test</w:t>
            </w:r>
          </w:p>
        </w:tc>
        <w:tc>
          <w:tcPr>
            <w:tcW w:type="dxa" w:w="4680"/>
          </w:tcPr>
          <w:p>
            <w:r>
              <w:t>The test we use on the four before-and-after items. It suits ordinal data and does not assume a bell curve.</w:t>
            </w:r>
          </w:p>
        </w:tc>
      </w:tr>
      <w:tr>
        <w:tc>
          <w:tcPr>
            <w:tcW w:type="dxa" w:w="4680"/>
          </w:tcPr>
          <w:p>
            <w:r>
              <w:rPr>
                <w:b/>
              </w:rPr>
              <w:t>Cronbach’s alpha</w:t>
            </w:r>
          </w:p>
        </w:tc>
        <w:tc>
          <w:tcPr>
            <w:tcW w:type="dxa" w:w="4680"/>
          </w:tcPr>
          <w:p>
            <w:r>
              <w:t>A check that items meant to measure the same thing agree with each other. Below 0.70 is reported as it stands.</w:t>
            </w:r>
          </w:p>
        </w:tc>
      </w:tr>
      <w:tr>
        <w:tc>
          <w:tcPr>
            <w:tcW w:type="dxa" w:w="4680"/>
          </w:tcPr>
          <w:p>
            <w:r>
              <w:rPr>
                <w:b/>
              </w:rPr>
              <w:t>Spearman’s rank correlation</w:t>
            </w:r>
          </w:p>
        </w:tc>
        <w:tc>
          <w:tcPr>
            <w:tcW w:type="dxa" w:w="4680"/>
          </w:tcPr>
          <w:p>
            <w:r>
              <w:t>How closely two orderings agree. We use it to compare our ranking against a recruiter’s.</w:t>
            </w:r>
          </w:p>
        </w:tc>
      </w:tr>
      <w:tr>
        <w:tc>
          <w:tcPr>
            <w:tcW w:type="dxa" w:w="4680"/>
          </w:tcPr>
          <w:p>
            <w:r>
              <w:rPr>
                <w:b/>
              </w:rPr>
              <w:t>family-wise error rate</w:t>
            </w:r>
          </w:p>
        </w:tc>
        <w:tc>
          <w:tcPr>
            <w:tcW w:type="dxa" w:w="4680"/>
          </w:tcPr>
          <w:p>
            <w:r>
              <w:t>The risk of a false positive rising because you ran several tests. The Holm procedure controls it.</w:t>
            </w:r>
          </w:p>
        </w:tc>
      </w:tr>
      <w:tr>
        <w:tc>
          <w:tcPr>
            <w:tcW w:type="dxa" w:w="4680"/>
          </w:tcPr>
          <w:p>
            <w:r>
              <w:rPr>
                <w:b/>
              </w:rPr>
              <w:t>ISO/IEC 25010</w:t>
            </w:r>
          </w:p>
        </w:tc>
        <w:tc>
          <w:tcPr>
            <w:tcW w:type="dxa" w:w="4680"/>
          </w:tcPr>
          <w:p>
            <w:r>
              <w:t>A published list of eight things that make software good. We evaluate three of them.</w:t>
            </w:r>
          </w:p>
        </w:tc>
      </w:tr>
      <w:tr>
        <w:tc>
          <w:tcPr>
            <w:tcW w:type="dxa" w:w="4680"/>
          </w:tcPr>
          <w:p>
            <w:r>
              <w:rPr>
                <w:b/>
              </w:rPr>
              <w:t>System Usability Scale</w:t>
            </w:r>
          </w:p>
        </w:tc>
        <w:tc>
          <w:tcPr>
            <w:tcW w:type="dxa" w:w="4680"/>
          </w:tcPr>
          <w:p>
            <w:r>
              <w:t>A published 10-question usability test, scored 0 to 100. The only instrument we did not write ourselves.</w:t>
            </w:r>
          </w:p>
        </w:tc>
      </w:tr>
      <w:tr>
        <w:tc>
          <w:tcPr>
            <w:tcW w:type="dxa" w:w="4680"/>
          </w:tcPr>
          <w:p>
            <w:r>
              <w:rPr>
                <w:b/>
              </w:rPr>
              <w:t>ATS</w:t>
            </w:r>
          </w:p>
        </w:tc>
        <w:tc>
          <w:tcPr>
            <w:tcW w:type="dxa" w:w="4680"/>
          </w:tcPr>
          <w:p>
            <w:r>
              <w:t>Applicant Tracking System. The software employers use to sort applications. We are ATS-inspired, not an ATS.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4" w:sz="4" w:space="6"/>
      </w:pBdr>
      <w:jc w:val="right"/>
    </w:pPr>
    <w:r>
      <w:rPr>
        <w:color w:val="3D4A5C"/>
        <w:sz w:val="16"/>
        <w:szCs w:val="16"/>
      </w:rPr>
      <w:t xml:space="preserve">ResumeMatch PH — Start Here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Georgia" w:cs="Georgia" w:eastAsia="Georgia" w:hAnsi="Georgia"/>
      <w:b/>
      <w:bCs/>
      <w:color w:val="6B2737"/>
      <w:sz w:val="30"/>
      <w:szCs w:val="30"/>
    </w:rPr>
  </w:style>
  <w:style w:type="paragraph" w:styleId="Heading2">
    <w:name w:val="Heading 2"/>
    <w:basedOn w:val="Normal"/>
    <w:next w:val="Normal"/>
    <w:qFormat/>
    <w:pPr>
      <w:spacing w:after="120" w:before="280"/>
    </w:pPr>
    <w:rPr>
      <w:rFonts w:ascii="Georgia" w:cs="Georgia" w:eastAsia="Georgia" w:hAnsi="Georgia"/>
      <w:b/>
      <w:bCs/>
      <w:color w:val="3D4A5C"/>
      <w:sz w:val="25"/>
      <w:szCs w:val="25"/>
    </w:rPr>
  </w:style>
  <w:style w:type="paragraph" w:styleId="Heading3">
    <w:name w:val="Heading 3"/>
    <w:basedOn w:val="Normal"/>
    <w:next w:val="Normal"/>
    <w:qFormat/>
    <w:pPr>
      <w:spacing w:after="100" w:before="220"/>
    </w:pPr>
    <w:rPr>
      <w:rFonts w:ascii="Georgia" w:cs="Georgia" w:eastAsia="Georgia" w:hAnsi="Georgia"/>
      <w:b/>
      <w:bCs/>
      <w:color w:val="3D4A5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2026-08-13T07:54:31.529Z</dcterms:created>
  <dcterms:modified xsi:type="dcterms:W3CDTF">2026-08-13T07:54:31.661Z</dcterms:modified>
</cp:coreProperties>
</file>

<file path=docProps/custom.xml><?xml version="1.0" encoding="utf-8"?>
<Properties xmlns="http://schemas.openxmlformats.org/officeDocument/2006/custom-properties" xmlns:vt="http://schemas.openxmlformats.org/officeDocument/2006/docPropsVTypes"/>
</file>