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7birwqubhw7" w:id="0"/>
      <w:bookmarkEnd w:id="0"/>
      <w:r w:rsidDel="00000000" w:rsidR="00000000" w:rsidRPr="00000000">
        <w:rPr>
          <w:rtl w:val="0"/>
        </w:rPr>
        <w:t xml:space="preserve">Análise de Vibrações no Contexto da Indústria 4.0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Sensores inteligentes e edge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coleta contínua de vibração via sensores inteligentes fornece sinais ricos em frequência.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pré-processamento no edge reduz a latência, envia apenas indicadores relevantes e garante resposta quase em tempo real.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análise espectral identifica assinaturas específicas (desbalanceamento, desalinhamento) e alimenta modelos embarcados.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Manutenção preditiva e Digital Twin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espectros gerados atualizam o gêmeo digital com dados reais de operação, refinando simulações e prognósticos.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Tendências de amplitude e harmônicos críticos permitem estimar degradação e antecipar intervenções.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integração com CMMS agenda automaticamente tarefas e otimiza a disponibilidade dos ativos.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Tomada de decisão baseada em dados (DataOps industrial)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Indicadores derivados (RMS, picos, bandas críticas) entram em pipelines DataOps para orquestrar alertas e dashboards.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Governança garante rastreabilidade desde o sensor até o insight; gestores visualizam KPIs acionáveis.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Feedback contínuo fecha o ciclo: decisões atualizam regras de edge, modelos de gêmeo digital e políticas de manutenção.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