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6215C"/>
          <w:sz w:val="38"/>
          <w:szCs w:val="38"/>
        </w:rPr>
        <w:t xml:space="preserve">Cahier de collecte et de gestion des données</w:t>
      </w:r>
    </w:p>
    <w:p>
      <w:pPr>
        <w:spacing w:after="40"/>
        <w:jc w:val="center"/>
      </w:pPr>
      <w:r>
        <w:rPr>
          <w:b/>
          <w:bCs/>
          <w:sz w:val="22"/>
          <w:szCs w:val="22"/>
        </w:rPr>
        <w:t xml:space="preserve">Base de données de l'outil d'évaluation d'impact environnemental — MRC de L'Érable</w:t>
      </w:r>
    </w:p>
    <w:p>
      <w:pPr>
        <w:spacing w:after="300"/>
        <w:jc w:val="center"/>
      </w:pPr>
      <w:r>
        <w:rPr>
          <w:color w:val="5F5E5A"/>
          <w:sz w:val="19"/>
          <w:szCs w:val="19"/>
        </w:rPr>
        <w:t xml:space="preserve">Document adressé à la personne responsable de la conception et de la gestion de la base de données</w:t>
      </w:r>
    </w:p>
    <w:p>
      <w:pPr>
        <w:pStyle w:val="Heading1"/>
        <w:spacing w:after="140" w:before="280"/>
      </w:pPr>
      <w:r>
        <w:t xml:space="preserve">1. Objectif du document</w:t>
      </w:r>
    </w:p>
    <w:p>
      <w:pPr>
        <w:spacing w:after="140"/>
        <w:jc w:val="both"/>
      </w:pPr>
      <w:r>
        <w:rPr>
          <w:sz w:val="21"/>
          <w:szCs w:val="21"/>
        </w:rPr>
        <w:t xml:space="preserve">Ce document décrit, à l'intention de la personne responsable de la conception et de la gestion de la base de données, l'ensemble des données à collecter, les calculs à effectuer à partir de ces données, les analyses attendues, et les critères permettant de vérifier que les données collectées répondent aux standards reconnus de comptabilité carbone (ISO 14064, GHG Protocol, Guide de quantification du MELCCFP). Il complète le Cahier des charges fonctionnel et le document Framework méthodologique déjà produits pour ce projet, qui restent les références pour le détail des formules par secteur et des 111 paramètres de collecte propres à chacun des onze secteurs.</w:t>
      </w:r>
    </w:p>
    <w:p>
      <w:pPr>
        <w:pStyle w:val="Heading1"/>
        <w:spacing w:after="140" w:before="280"/>
      </w:pPr>
      <w:r>
        <w:t xml:space="preserve">2. Vue d'ensemble du modèle de données</w:t>
      </w:r>
    </w:p>
    <w:p>
      <w:pPr>
        <w:spacing w:after="140"/>
        <w:jc w:val="both"/>
      </w:pPr>
      <w:r>
        <w:rPr>
          <w:sz w:val="21"/>
          <w:szCs w:val="21"/>
        </w:rPr>
        <w:t xml:space="preserve">Le modèle de données proposé est relationnel et s'articule autour de neuf entités principales. Chaque bilan soumis par un acteur est traité comme un enregistrement distinct et daté, ce qui permet le suivi dans le temps (section 4) sans jamais écraser les données d'une année antérieure.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2B2B2B" w:val="clear"/>
          </w:tcPr>
          <w:p>
            <w:r>
              <w:rPr>
                <w:b/>
                <w:bCs/>
                <w:color w:val="FFFFFF"/>
                <w:sz w:val="16"/>
                <w:szCs w:val="16"/>
              </w:rPr>
              <w:t xml:space="preserve">Entité</w:t>
            </w:r>
          </w:p>
        </w:tc>
        <w:tc>
          <w:tcPr>
            <w:tcW w:type="dxa" w:w="6600"/>
            <w:shd w:fill="2B2B2B" w:val="clear"/>
          </w:tcPr>
          <w:p>
            <w:r>
              <w:rPr>
                <w:b/>
                <w:bCs/>
                <w:color w:val="FFFFFF"/>
                <w:sz w:val="16"/>
                <w:szCs w:val="16"/>
              </w:rPr>
              <w:t xml:space="preserve">Rôle</w:t>
            </w:r>
          </w:p>
        </w:tc>
      </w:tr>
      <w:tr>
        <w:tc>
          <w:tcPr>
            <w:tcW w:type="dxa" w:w="3000"/>
          </w:tcPr>
          <w:p>
            <w:r>
              <w:rPr>
                <w:b w:val="false"/>
                <w:bCs w:val="false"/>
                <w:color w:val="000000"/>
                <w:sz w:val="16"/>
                <w:szCs w:val="16"/>
              </w:rPr>
              <w:t xml:space="preserve">acteurs</w:t>
            </w:r>
          </w:p>
        </w:tc>
        <w:tc>
          <w:tcPr>
            <w:tcW w:type="dxa" w:w="6600"/>
          </w:tcPr>
          <w:p>
            <w:r>
              <w:rPr>
                <w:b w:val="false"/>
                <w:bCs w:val="false"/>
                <w:color w:val="000000"/>
                <w:sz w:val="16"/>
                <w:szCs w:val="16"/>
              </w:rPr>
              <w:t xml:space="preserve">Un enregistrement par organisation ou citoyen inscrit à l'outil</w:t>
            </w:r>
          </w:p>
        </w:tc>
      </w:tr>
      <w:tr>
        <w:tc>
          <w:tcPr>
            <w:tcW w:type="dxa" w:w="3000"/>
          </w:tcPr>
          <w:p>
            <w:r>
              <w:rPr>
                <w:b w:val="false"/>
                <w:bCs w:val="false"/>
                <w:color w:val="000000"/>
                <w:sz w:val="16"/>
                <w:szCs w:val="16"/>
              </w:rPr>
              <w:t xml:space="preserve">secteurs</w:t>
            </w:r>
          </w:p>
        </w:tc>
        <w:tc>
          <w:tcPr>
            <w:tcW w:type="dxa" w:w="6600"/>
          </w:tcPr>
          <w:p>
            <w:r>
              <w:rPr>
                <w:b w:val="false"/>
                <w:bCs w:val="false"/>
                <w:color w:val="000000"/>
                <w:sz w:val="16"/>
                <w:szCs w:val="16"/>
              </w:rPr>
              <w:t xml:space="preserve">Référentiel des 11 secteurs d'activité</w:t>
            </w:r>
          </w:p>
        </w:tc>
      </w:tr>
      <w:tr>
        <w:tc>
          <w:tcPr>
            <w:tcW w:type="dxa" w:w="3000"/>
          </w:tcPr>
          <w:p>
            <w:r>
              <w:rPr>
                <w:b w:val="false"/>
                <w:bCs w:val="false"/>
                <w:color w:val="000000"/>
                <w:sz w:val="16"/>
                <w:szCs w:val="16"/>
              </w:rPr>
              <w:t xml:space="preserve">bilans</w:t>
            </w:r>
          </w:p>
        </w:tc>
        <w:tc>
          <w:tcPr>
            <w:tcW w:type="dxa" w:w="6600"/>
          </w:tcPr>
          <w:p>
            <w:r>
              <w:rPr>
                <w:b w:val="false"/>
                <w:bCs w:val="false"/>
                <w:color w:val="000000"/>
                <w:sz w:val="16"/>
                <w:szCs w:val="16"/>
              </w:rPr>
              <w:t xml:space="preserve">Un enregistrement par bilan soumis (acteur, année de référence, niveau de collecte)</w:t>
            </w:r>
          </w:p>
        </w:tc>
      </w:tr>
      <w:tr>
        <w:tc>
          <w:tcPr>
            <w:tcW w:type="dxa" w:w="3000"/>
          </w:tcPr>
          <w:p>
            <w:r>
              <w:rPr>
                <w:b w:val="false"/>
                <w:bCs w:val="false"/>
                <w:color w:val="000000"/>
                <w:sz w:val="16"/>
                <w:szCs w:val="16"/>
              </w:rPr>
              <w:t xml:space="preserve">reponses_donnees</w:t>
            </w:r>
          </w:p>
        </w:tc>
        <w:tc>
          <w:tcPr>
            <w:tcW w:type="dxa" w:w="6600"/>
          </w:tcPr>
          <w:p>
            <w:r>
              <w:rPr>
                <w:b w:val="false"/>
                <w:bCs w:val="false"/>
                <w:color w:val="000000"/>
                <w:sz w:val="16"/>
                <w:szCs w:val="16"/>
              </w:rPr>
              <w:t xml:space="preserve">Chaque réponse individuelle au questionnaire, avec sa qualité et son unité</w:t>
            </w:r>
          </w:p>
        </w:tc>
      </w:tr>
      <w:tr>
        <w:tc>
          <w:tcPr>
            <w:tcW w:type="dxa" w:w="3000"/>
          </w:tcPr>
          <w:p>
            <w:r>
              <w:rPr>
                <w:b w:val="false"/>
                <w:bCs w:val="false"/>
                <w:color w:val="000000"/>
                <w:sz w:val="16"/>
                <w:szCs w:val="16"/>
              </w:rPr>
              <w:t xml:space="preserve">facteurs_emission</w:t>
            </w:r>
          </w:p>
        </w:tc>
        <w:tc>
          <w:tcPr>
            <w:tcW w:type="dxa" w:w="6600"/>
          </w:tcPr>
          <w:p>
            <w:r>
              <w:rPr>
                <w:b w:val="false"/>
                <w:bCs w:val="false"/>
                <w:color w:val="000000"/>
                <w:sz w:val="16"/>
                <w:szCs w:val="16"/>
              </w:rPr>
              <w:t xml:space="preserve">Référentiel des facteurs d'émission (valeur, source, année de publication)</w:t>
            </w:r>
          </w:p>
        </w:tc>
      </w:tr>
      <w:tr>
        <w:tc>
          <w:tcPr>
            <w:tcW w:type="dxa" w:w="3000"/>
          </w:tcPr>
          <w:p>
            <w:r>
              <w:rPr>
                <w:b w:val="false"/>
                <w:bCs w:val="false"/>
                <w:color w:val="000000"/>
                <w:sz w:val="16"/>
                <w:szCs w:val="16"/>
              </w:rPr>
              <w:t xml:space="preserve">resultats_calcules</w:t>
            </w:r>
          </w:p>
        </w:tc>
        <w:tc>
          <w:tcPr>
            <w:tcW w:type="dxa" w:w="6600"/>
          </w:tcPr>
          <w:p>
            <w:r>
              <w:rPr>
                <w:b w:val="false"/>
                <w:bCs w:val="false"/>
                <w:color w:val="000000"/>
                <w:sz w:val="16"/>
                <w:szCs w:val="16"/>
              </w:rPr>
              <w:t xml:space="preserve">Résultats du moteur de calcul par poste, pour chaque bilan</w:t>
            </w:r>
          </w:p>
        </w:tc>
      </w:tr>
      <w:tr>
        <w:tc>
          <w:tcPr>
            <w:tcW w:type="dxa" w:w="3000"/>
          </w:tcPr>
          <w:p>
            <w:r>
              <w:rPr>
                <w:b w:val="false"/>
                <w:bCs w:val="false"/>
                <w:color w:val="000000"/>
                <w:sz w:val="16"/>
                <w:szCs w:val="16"/>
              </w:rPr>
              <w:t xml:space="preserve">boussole_resultats</w:t>
            </w:r>
          </w:p>
        </w:tc>
        <w:tc>
          <w:tcPr>
            <w:tcW w:type="dxa" w:w="6600"/>
          </w:tcPr>
          <w:p>
            <w:r>
              <w:rPr>
                <w:b w:val="false"/>
                <w:bCs w:val="false"/>
                <w:color w:val="000000"/>
                <w:sz w:val="16"/>
                <w:szCs w:val="16"/>
              </w:rPr>
              <w:t xml:space="preserve">Scores des six pôles de la Boussole, importés par acteur</w:t>
            </w:r>
          </w:p>
        </w:tc>
      </w:tr>
      <w:tr>
        <w:tc>
          <w:tcPr>
            <w:tcW w:type="dxa" w:w="3000"/>
          </w:tcPr>
          <w:p>
            <w:r>
              <w:rPr>
                <w:b w:val="false"/>
                <w:bCs w:val="false"/>
                <w:color w:val="000000"/>
                <w:sz w:val="16"/>
                <w:szCs w:val="16"/>
              </w:rPr>
              <w:t xml:space="preserve">actions_plan</w:t>
            </w:r>
          </w:p>
        </w:tc>
        <w:tc>
          <w:tcPr>
            <w:tcW w:type="dxa" w:w="6600"/>
          </w:tcPr>
          <w:p>
            <w:r>
              <w:rPr>
                <w:b w:val="false"/>
                <w:bCs w:val="false"/>
                <w:color w:val="000000"/>
                <w:sz w:val="16"/>
                <w:szCs w:val="16"/>
              </w:rPr>
              <w:t xml:space="preserve">Référentiel des 41 actions du plan d'action collectif</w:t>
            </w:r>
          </w:p>
        </w:tc>
      </w:tr>
      <w:tr>
        <w:tc>
          <w:tcPr>
            <w:tcW w:type="dxa" w:w="3000"/>
          </w:tcPr>
          <w:p>
            <w:r>
              <w:rPr>
                <w:b w:val="false"/>
                <w:bCs w:val="false"/>
                <w:color w:val="000000"/>
                <w:sz w:val="16"/>
                <w:szCs w:val="16"/>
              </w:rPr>
              <w:t xml:space="preserve">couverture_plan</w:t>
            </w:r>
          </w:p>
        </w:tc>
        <w:tc>
          <w:tcPr>
            <w:tcW w:type="dxa" w:w="6600"/>
          </w:tcPr>
          <w:p>
            <w:r>
              <w:rPr>
                <w:b w:val="false"/>
                <w:bCs w:val="false"/>
                <w:color w:val="000000"/>
                <w:sz w:val="16"/>
                <w:szCs w:val="16"/>
              </w:rPr>
              <w:t xml:space="preserve">Association acteur ↔ action (couverte, recommandée, ignorée)</w:t>
            </w:r>
          </w:p>
        </w:tc>
      </w:tr>
    </w:tbl>
    <w:p>
      <w:r>
        <w:br w:type="page"/>
      </w:r>
    </w:p>
    <w:p>
      <w:pPr>
        <w:pStyle w:val="Heading1"/>
        <w:spacing w:after="140" w:before="280"/>
      </w:pPr>
      <w:r>
        <w:t xml:space="preserve">3. Données à collecter — dictionnaire détaillé</w:t>
      </w:r>
    </w:p>
    <w:p>
      <w:pPr>
        <w:pStyle w:val="Heading2"/>
        <w:spacing w:after="100" w:before="200"/>
      </w:pPr>
      <w:r>
        <w:t xml:space="preserve">3.1 Table acteurs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00"/>
      </w:tblGrid>
      <w:tr>
        <w:tc>
          <w:tcPr>
            <w:tcW w:type="dxa" w:w="2400"/>
            <w:shd w:fill="2B2B2B" w:val="clear"/>
          </w:tcPr>
          <w:p>
            <w:r>
              <w:rPr>
                <w:b/>
                <w:bCs/>
                <w:color w:val="FFFFFF"/>
                <w:sz w:val="16"/>
                <w:szCs w:val="16"/>
              </w:rPr>
              <w:t xml:space="preserve">Champ</w:t>
            </w:r>
          </w:p>
        </w:tc>
        <w:tc>
          <w:tcPr>
            <w:tcW w:type="dxa" w:w="2000"/>
            <w:shd w:fill="2B2B2B" w:val="clear"/>
          </w:tcPr>
          <w:p>
            <w:r>
              <w:rPr>
                <w:b/>
                <w:bCs/>
                <w:color w:val="FFFFFF"/>
                <w:sz w:val="16"/>
                <w:szCs w:val="16"/>
              </w:rPr>
              <w:t xml:space="preserve">Type</w:t>
            </w:r>
          </w:p>
        </w:tc>
        <w:tc>
          <w:tcPr>
            <w:tcW w:type="dxa" w:w="5200"/>
            <w:shd w:fill="2B2B2B" w:val="clear"/>
          </w:tcPr>
          <w:p>
            <w:r>
              <w:rPr>
                <w:b/>
                <w:bCs/>
                <w:color w:val="FFFFFF"/>
                <w:sz w:val="16"/>
                <w:szCs w:val="16"/>
              </w:rPr>
              <w:t xml:space="preserve">Description</w:t>
            </w:r>
          </w:p>
        </w:tc>
      </w:tr>
      <w:tr>
        <w:tc>
          <w:tcPr>
            <w:tcW w:type="dxa" w:w="2400"/>
          </w:tcPr>
          <w:p>
            <w:r>
              <w:rPr>
                <w:b w:val="false"/>
                <w:bCs w:val="false"/>
                <w:color w:val="000000"/>
                <w:sz w:val="16"/>
                <w:szCs w:val="16"/>
              </w:rPr>
              <w:t xml:space="preserve">id_acteur</w:t>
            </w:r>
          </w:p>
        </w:tc>
        <w:tc>
          <w:tcPr>
            <w:tcW w:type="dxa" w:w="2000"/>
          </w:tcPr>
          <w:p>
            <w:r>
              <w:rPr>
                <w:b w:val="false"/>
                <w:bCs w:val="false"/>
                <w:color w:val="000000"/>
                <w:sz w:val="16"/>
                <w:szCs w:val="16"/>
              </w:rPr>
              <w:t xml:space="preserve">Identifiant unique</w:t>
            </w:r>
          </w:p>
        </w:tc>
        <w:tc>
          <w:tcPr>
            <w:tcW w:type="dxa" w:w="5200"/>
          </w:tcPr>
          <w:p>
            <w:r>
              <w:rPr>
                <w:b w:val="false"/>
                <w:bCs w:val="false"/>
                <w:color w:val="000000"/>
                <w:sz w:val="16"/>
                <w:szCs w:val="16"/>
              </w:rPr>
              <w:t xml:space="preserve">Clé primaire</w:t>
            </w:r>
          </w:p>
        </w:tc>
      </w:tr>
      <w:tr>
        <w:tc>
          <w:tcPr>
            <w:tcW w:type="dxa" w:w="2400"/>
          </w:tcPr>
          <w:p>
            <w:r>
              <w:rPr>
                <w:b w:val="false"/>
                <w:bCs w:val="false"/>
                <w:color w:val="000000"/>
                <w:sz w:val="16"/>
                <w:szCs w:val="16"/>
              </w:rPr>
              <w:t xml:space="preserve">nom</w:t>
            </w:r>
          </w:p>
        </w:tc>
        <w:tc>
          <w:tcPr>
            <w:tcW w:type="dxa" w:w="2000"/>
          </w:tcPr>
          <w:p>
            <w:r>
              <w:rPr>
                <w:b w:val="false"/>
                <w:bCs w:val="false"/>
                <w:color w:val="000000"/>
                <w:sz w:val="16"/>
                <w:szCs w:val="16"/>
              </w:rPr>
              <w:t xml:space="preserve">Texte</w:t>
            </w:r>
          </w:p>
        </w:tc>
        <w:tc>
          <w:tcPr>
            <w:tcW w:type="dxa" w:w="5200"/>
          </w:tcPr>
          <w:p>
            <w:r>
              <w:rPr>
                <w:b w:val="false"/>
                <w:bCs w:val="false"/>
                <w:color w:val="000000"/>
                <w:sz w:val="16"/>
                <w:szCs w:val="16"/>
              </w:rPr>
              <w:t xml:space="preserve">Nom de l'organisation ou pseudonyme du citoyen</w:t>
            </w:r>
          </w:p>
        </w:tc>
      </w:tr>
      <w:tr>
        <w:tc>
          <w:tcPr>
            <w:tcW w:type="dxa" w:w="2400"/>
          </w:tcPr>
          <w:p>
            <w:r>
              <w:rPr>
                <w:b w:val="false"/>
                <w:bCs w:val="false"/>
                <w:color w:val="000000"/>
                <w:sz w:val="16"/>
                <w:szCs w:val="16"/>
              </w:rPr>
              <w:t xml:space="preserve">type_acteur</w:t>
            </w:r>
          </w:p>
        </w:tc>
        <w:tc>
          <w:tcPr>
            <w:tcW w:type="dxa" w:w="2000"/>
          </w:tcPr>
          <w:p>
            <w:r>
              <w:rPr>
                <w:b w:val="false"/>
                <w:bCs w:val="false"/>
                <w:color w:val="000000"/>
                <w:sz w:val="16"/>
                <w:szCs w:val="16"/>
              </w:rPr>
              <w:t xml:space="preserve">Enum</w:t>
            </w:r>
          </w:p>
        </w:tc>
        <w:tc>
          <w:tcPr>
            <w:tcW w:type="dxa" w:w="5200"/>
          </w:tcPr>
          <w:p>
            <w:r>
              <w:rPr>
                <w:b w:val="false"/>
                <w:bCs w:val="false"/>
                <w:color w:val="000000"/>
                <w:sz w:val="16"/>
                <w:szCs w:val="16"/>
              </w:rPr>
              <w:t xml:space="preserve">Institution / Entreprise / Organisme / Citoyen</w:t>
            </w:r>
          </w:p>
        </w:tc>
      </w:tr>
      <w:tr>
        <w:tc>
          <w:tcPr>
            <w:tcW w:type="dxa" w:w="2400"/>
          </w:tcPr>
          <w:p>
            <w:r>
              <w:rPr>
                <w:b w:val="false"/>
                <w:bCs w:val="false"/>
                <w:color w:val="000000"/>
                <w:sz w:val="16"/>
                <w:szCs w:val="16"/>
              </w:rPr>
              <w:t xml:space="preserve">statut</w:t>
            </w:r>
          </w:p>
        </w:tc>
        <w:tc>
          <w:tcPr>
            <w:tcW w:type="dxa" w:w="2000"/>
          </w:tcPr>
          <w:p>
            <w:r>
              <w:rPr>
                <w:b w:val="false"/>
                <w:bCs w:val="false"/>
                <w:color w:val="000000"/>
                <w:sz w:val="16"/>
                <w:szCs w:val="16"/>
              </w:rPr>
              <w:t xml:space="preserve">Enum</w:t>
            </w:r>
          </w:p>
        </w:tc>
        <w:tc>
          <w:tcPr>
            <w:tcW w:type="dxa" w:w="5200"/>
          </w:tcPr>
          <w:p>
            <w:r>
              <w:rPr>
                <w:b w:val="false"/>
                <w:bCs w:val="false"/>
                <w:color w:val="000000"/>
                <w:sz w:val="16"/>
                <w:szCs w:val="16"/>
              </w:rPr>
              <w:t xml:space="preserve">Public / Privé / OBNL (détermine la catégorie de recommandation, voir Cahier des charges 4.5)</w:t>
            </w:r>
          </w:p>
        </w:tc>
      </w:tr>
      <w:tr>
        <w:tc>
          <w:tcPr>
            <w:tcW w:type="dxa" w:w="2400"/>
          </w:tcPr>
          <w:p>
            <w:r>
              <w:rPr>
                <w:b w:val="false"/>
                <w:bCs w:val="false"/>
                <w:color w:val="000000"/>
                <w:sz w:val="16"/>
                <w:szCs w:val="16"/>
              </w:rPr>
              <w:t xml:space="preserve">id_secteur</w:t>
            </w:r>
          </w:p>
        </w:tc>
        <w:tc>
          <w:tcPr>
            <w:tcW w:type="dxa" w:w="2000"/>
          </w:tcPr>
          <w:p>
            <w:r>
              <w:rPr>
                <w:b w:val="false"/>
                <w:bCs w:val="false"/>
                <w:color w:val="000000"/>
                <w:sz w:val="16"/>
                <w:szCs w:val="16"/>
              </w:rPr>
              <w:t xml:space="preserve">Clé étrangère</w:t>
            </w:r>
          </w:p>
        </w:tc>
        <w:tc>
          <w:tcPr>
            <w:tcW w:type="dxa" w:w="5200"/>
          </w:tcPr>
          <w:p>
            <w:r>
              <w:rPr>
                <w:b w:val="false"/>
                <w:bCs w:val="false"/>
                <w:color w:val="000000"/>
                <w:sz w:val="16"/>
                <w:szCs w:val="16"/>
              </w:rPr>
              <w:t xml:space="preserve">Référence à la table secteurs (11 valeurs possibles)</w:t>
            </w:r>
          </w:p>
        </w:tc>
      </w:tr>
      <w:tr>
        <w:tc>
          <w:tcPr>
            <w:tcW w:type="dxa" w:w="2400"/>
          </w:tcPr>
          <w:p>
            <w:r>
              <w:rPr>
                <w:b w:val="false"/>
                <w:bCs w:val="false"/>
                <w:color w:val="000000"/>
                <w:sz w:val="16"/>
                <w:szCs w:val="16"/>
              </w:rPr>
              <w:t xml:space="preserve">code_postal</w:t>
            </w:r>
          </w:p>
        </w:tc>
        <w:tc>
          <w:tcPr>
            <w:tcW w:type="dxa" w:w="2000"/>
          </w:tcPr>
          <w:p>
            <w:r>
              <w:rPr>
                <w:b w:val="false"/>
                <w:bCs w:val="false"/>
                <w:color w:val="000000"/>
                <w:sz w:val="16"/>
                <w:szCs w:val="16"/>
              </w:rPr>
              <w:t xml:space="preserve">Texte</w:t>
            </w:r>
          </w:p>
        </w:tc>
        <w:tc>
          <w:tcPr>
            <w:tcW w:type="dxa" w:w="5200"/>
          </w:tcPr>
          <w:p>
            <w:r>
              <w:rPr>
                <w:b w:val="false"/>
                <w:bCs w:val="false"/>
                <w:color w:val="000000"/>
                <w:sz w:val="16"/>
                <w:szCs w:val="16"/>
              </w:rPr>
              <w:t xml:space="preserve">Localisation, pour rattachement territorial (MRC de L'Érable / Centre-du-Québec)</w:t>
            </w:r>
          </w:p>
        </w:tc>
      </w:tr>
      <w:tr>
        <w:tc>
          <w:tcPr>
            <w:tcW w:type="dxa" w:w="2400"/>
          </w:tcPr>
          <w:p>
            <w:r>
              <w:rPr>
                <w:b w:val="false"/>
                <w:bCs w:val="false"/>
                <w:color w:val="000000"/>
                <w:sz w:val="16"/>
                <w:szCs w:val="16"/>
              </w:rPr>
              <w:t xml:space="preserve">taille</w:t>
            </w:r>
          </w:p>
        </w:tc>
        <w:tc>
          <w:tcPr>
            <w:tcW w:type="dxa" w:w="2000"/>
          </w:tcPr>
          <w:p>
            <w:r>
              <w:rPr>
                <w:b w:val="false"/>
                <w:bCs w:val="false"/>
                <w:color w:val="000000"/>
                <w:sz w:val="16"/>
                <w:szCs w:val="16"/>
              </w:rPr>
              <w:t xml:space="preserve">Enum</w:t>
            </w:r>
          </w:p>
        </w:tc>
        <w:tc>
          <w:tcPr>
            <w:tcW w:type="dxa" w:w="5200"/>
          </w:tcPr>
          <w:p>
            <w:r>
              <w:rPr>
                <w:b w:val="false"/>
                <w:bCs w:val="false"/>
                <w:color w:val="000000"/>
                <w:sz w:val="16"/>
                <w:szCs w:val="16"/>
              </w:rPr>
              <w:t xml:space="preserve">Petite / Moyenne / Grande — pour les valeurs par défaut</w:t>
            </w:r>
          </w:p>
        </w:tc>
      </w:tr>
      <w:tr>
        <w:tc>
          <w:tcPr>
            <w:tcW w:type="dxa" w:w="2400"/>
          </w:tcPr>
          <w:p>
            <w:r>
              <w:rPr>
                <w:b w:val="false"/>
                <w:bCs w:val="false"/>
                <w:color w:val="000000"/>
                <w:sz w:val="16"/>
                <w:szCs w:val="16"/>
              </w:rPr>
              <w:t xml:space="preserve">date_creation_compte</w:t>
            </w:r>
          </w:p>
        </w:tc>
        <w:tc>
          <w:tcPr>
            <w:tcW w:type="dxa" w:w="2000"/>
          </w:tcPr>
          <w:p>
            <w:r>
              <w:rPr>
                <w:b w:val="false"/>
                <w:bCs w:val="false"/>
                <w:color w:val="000000"/>
                <w:sz w:val="16"/>
                <w:szCs w:val="16"/>
              </w:rPr>
              <w:t xml:space="preserve">Date</w:t>
            </w:r>
          </w:p>
        </w:tc>
        <w:tc>
          <w:tcPr>
            <w:tcW w:type="dxa" w:w="5200"/>
          </w:tcPr>
          <w:p>
            <w:r>
              <w:rPr>
                <w:b w:val="false"/>
                <w:bCs w:val="false"/>
                <w:color w:val="000000"/>
                <w:sz w:val="16"/>
                <w:szCs w:val="16"/>
              </w:rPr>
              <w:t xml:space="preserve">Horodatage de création</w:t>
            </w:r>
          </w:p>
        </w:tc>
      </w:tr>
    </w:tbl>
    <w:p>
      <w:pPr>
        <w:pStyle w:val="Heading2"/>
        <w:spacing w:after="100" w:before="200"/>
      </w:pPr>
      <w:r>
        <w:t xml:space="preserve">3.2 Table bilans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00"/>
      </w:tblGrid>
      <w:tr>
        <w:tc>
          <w:tcPr>
            <w:tcW w:type="dxa" w:w="2600"/>
            <w:shd w:fill="2B2B2B" w:val="clear"/>
          </w:tcPr>
          <w:p>
            <w:r>
              <w:rPr>
                <w:b/>
                <w:bCs/>
                <w:color w:val="FFFFFF"/>
                <w:sz w:val="16"/>
                <w:szCs w:val="16"/>
              </w:rPr>
              <w:t xml:space="preserve">Champ</w:t>
            </w:r>
          </w:p>
        </w:tc>
        <w:tc>
          <w:tcPr>
            <w:tcW w:type="dxa" w:w="2000"/>
            <w:shd w:fill="2B2B2B" w:val="clear"/>
          </w:tcPr>
          <w:p>
            <w:r>
              <w:rPr>
                <w:b/>
                <w:bCs/>
                <w:color w:val="FFFFFF"/>
                <w:sz w:val="16"/>
                <w:szCs w:val="16"/>
              </w:rPr>
              <w:t xml:space="preserve">Type</w:t>
            </w:r>
          </w:p>
        </w:tc>
        <w:tc>
          <w:tcPr>
            <w:tcW w:type="dxa" w:w="5000"/>
            <w:shd w:fill="2B2B2B" w:val="clear"/>
          </w:tcPr>
          <w:p>
            <w:r>
              <w:rPr>
                <w:b/>
                <w:bCs/>
                <w:color w:val="FFFFFF"/>
                <w:sz w:val="16"/>
                <w:szCs w:val="16"/>
              </w:rPr>
              <w:t xml:space="preserve">Description</w:t>
            </w:r>
          </w:p>
        </w:tc>
      </w:tr>
      <w:tr>
        <w:tc>
          <w:tcPr>
            <w:tcW w:type="dxa" w:w="2600"/>
          </w:tcPr>
          <w:p>
            <w:r>
              <w:rPr>
                <w:b w:val="false"/>
                <w:bCs w:val="false"/>
                <w:color w:val="000000"/>
                <w:sz w:val="16"/>
                <w:szCs w:val="16"/>
              </w:rPr>
              <w:t xml:space="preserve">id_bilan</w:t>
            </w:r>
          </w:p>
        </w:tc>
        <w:tc>
          <w:tcPr>
            <w:tcW w:type="dxa" w:w="2000"/>
          </w:tcPr>
          <w:p>
            <w:r>
              <w:rPr>
                <w:b w:val="false"/>
                <w:bCs w:val="false"/>
                <w:color w:val="000000"/>
                <w:sz w:val="16"/>
                <w:szCs w:val="16"/>
              </w:rPr>
              <w:t xml:space="preserve">Identifiant unique</w:t>
            </w:r>
          </w:p>
        </w:tc>
        <w:tc>
          <w:tcPr>
            <w:tcW w:type="dxa" w:w="5000"/>
          </w:tcPr>
          <w:p>
            <w:r>
              <w:rPr>
                <w:b w:val="false"/>
                <w:bCs w:val="false"/>
                <w:color w:val="000000"/>
                <w:sz w:val="16"/>
                <w:szCs w:val="16"/>
              </w:rPr>
              <w:t xml:space="preserve">Clé primaire</w:t>
            </w:r>
          </w:p>
        </w:tc>
      </w:tr>
      <w:tr>
        <w:tc>
          <w:tcPr>
            <w:tcW w:type="dxa" w:w="2600"/>
          </w:tcPr>
          <w:p>
            <w:r>
              <w:rPr>
                <w:b w:val="false"/>
                <w:bCs w:val="false"/>
                <w:color w:val="000000"/>
                <w:sz w:val="16"/>
                <w:szCs w:val="16"/>
              </w:rPr>
              <w:t xml:space="preserve">id_acteur</w:t>
            </w:r>
          </w:p>
        </w:tc>
        <w:tc>
          <w:tcPr>
            <w:tcW w:type="dxa" w:w="2000"/>
          </w:tcPr>
          <w:p>
            <w:r>
              <w:rPr>
                <w:b w:val="false"/>
                <w:bCs w:val="false"/>
                <w:color w:val="000000"/>
                <w:sz w:val="16"/>
                <w:szCs w:val="16"/>
              </w:rPr>
              <w:t xml:space="preserve">Clé étrangère</w:t>
            </w:r>
          </w:p>
        </w:tc>
        <w:tc>
          <w:tcPr>
            <w:tcW w:type="dxa" w:w="5000"/>
          </w:tcPr>
          <w:p>
            <w:r>
              <w:rPr>
                <w:b w:val="false"/>
                <w:bCs w:val="false"/>
                <w:color w:val="000000"/>
                <w:sz w:val="16"/>
                <w:szCs w:val="16"/>
              </w:rPr>
              <w:t xml:space="preserve">Référence à l'acteur</w:t>
            </w:r>
          </w:p>
        </w:tc>
      </w:tr>
      <w:tr>
        <w:tc>
          <w:tcPr>
            <w:tcW w:type="dxa" w:w="2600"/>
          </w:tcPr>
          <w:p>
            <w:r>
              <w:rPr>
                <w:b w:val="false"/>
                <w:bCs w:val="false"/>
                <w:color w:val="000000"/>
                <w:sz w:val="16"/>
                <w:szCs w:val="16"/>
              </w:rPr>
              <w:t xml:space="preserve">annee_reference</w:t>
            </w:r>
          </w:p>
        </w:tc>
        <w:tc>
          <w:tcPr>
            <w:tcW w:type="dxa" w:w="2000"/>
          </w:tcPr>
          <w:p>
            <w:r>
              <w:rPr>
                <w:b w:val="false"/>
                <w:bCs w:val="false"/>
                <w:color w:val="000000"/>
                <w:sz w:val="16"/>
                <w:szCs w:val="16"/>
              </w:rPr>
              <w:t xml:space="preserve">Année</w:t>
            </w:r>
          </w:p>
        </w:tc>
        <w:tc>
          <w:tcPr>
            <w:tcW w:type="dxa" w:w="5000"/>
          </w:tcPr>
          <w:p>
            <w:r>
              <w:rPr>
                <w:b w:val="false"/>
                <w:bCs w:val="false"/>
                <w:color w:val="000000"/>
                <w:sz w:val="16"/>
                <w:szCs w:val="16"/>
              </w:rPr>
              <w:t xml:space="preserve">Année de référence (baseline) ou année de collecte courante</w:t>
            </w:r>
          </w:p>
        </w:tc>
      </w:tr>
      <w:tr>
        <w:tc>
          <w:tcPr>
            <w:tcW w:type="dxa" w:w="2600"/>
          </w:tcPr>
          <w:p>
            <w:r>
              <w:rPr>
                <w:b w:val="false"/>
                <w:bCs w:val="false"/>
                <w:color w:val="000000"/>
                <w:sz w:val="16"/>
                <w:szCs w:val="16"/>
              </w:rPr>
              <w:t xml:space="preserve">niveau_collecte</w:t>
            </w:r>
          </w:p>
        </w:tc>
        <w:tc>
          <w:tcPr>
            <w:tcW w:type="dxa" w:w="2000"/>
          </w:tcPr>
          <w:p>
            <w:r>
              <w:rPr>
                <w:b w:val="false"/>
                <w:bCs w:val="false"/>
                <w:color w:val="000000"/>
                <w:sz w:val="16"/>
                <w:szCs w:val="16"/>
              </w:rPr>
              <w:t xml:space="preserve">Enum</w:t>
            </w:r>
          </w:p>
        </w:tc>
        <w:tc>
          <w:tcPr>
            <w:tcW w:type="dxa" w:w="5000"/>
          </w:tcPr>
          <w:p>
            <w:r>
              <w:rPr>
                <w:b w:val="false"/>
                <w:bCs w:val="false"/>
                <w:color w:val="000000"/>
                <w:sz w:val="16"/>
                <w:szCs w:val="16"/>
              </w:rPr>
              <w:t xml:space="preserve">1, 2 ou 3, selon la profondeur choisie par l'acteur</w:t>
            </w:r>
          </w:p>
        </w:tc>
      </w:tr>
      <w:tr>
        <w:tc>
          <w:tcPr>
            <w:tcW w:type="dxa" w:w="2600"/>
          </w:tcPr>
          <w:p>
            <w:r>
              <w:rPr>
                <w:b w:val="false"/>
                <w:bCs w:val="false"/>
                <w:color w:val="000000"/>
                <w:sz w:val="16"/>
                <w:szCs w:val="16"/>
              </w:rPr>
              <w:t xml:space="preserve">date_soumission</w:t>
            </w:r>
          </w:p>
        </w:tc>
        <w:tc>
          <w:tcPr>
            <w:tcW w:type="dxa" w:w="2000"/>
          </w:tcPr>
          <w:p>
            <w:r>
              <w:rPr>
                <w:b w:val="false"/>
                <w:bCs w:val="false"/>
                <w:color w:val="000000"/>
                <w:sz w:val="16"/>
                <w:szCs w:val="16"/>
              </w:rPr>
              <w:t xml:space="preserve">Date</w:t>
            </w:r>
          </w:p>
        </w:tc>
        <w:tc>
          <w:tcPr>
            <w:tcW w:type="dxa" w:w="5000"/>
          </w:tcPr>
          <w:p>
            <w:r>
              <w:rPr>
                <w:b w:val="false"/>
                <w:bCs w:val="false"/>
                <w:color w:val="000000"/>
                <w:sz w:val="16"/>
                <w:szCs w:val="16"/>
              </w:rPr>
              <w:t xml:space="preserve">Date de complétion du bilan</w:t>
            </w:r>
          </w:p>
        </w:tc>
      </w:tr>
      <w:tr>
        <w:tc>
          <w:tcPr>
            <w:tcW w:type="dxa" w:w="2600"/>
          </w:tcPr>
          <w:p>
            <w:r>
              <w:rPr>
                <w:b w:val="false"/>
                <w:bCs w:val="false"/>
                <w:color w:val="000000"/>
                <w:sz w:val="16"/>
                <w:szCs w:val="16"/>
              </w:rPr>
              <w:t xml:space="preserve">version_facteurs_emission</w:t>
            </w:r>
          </w:p>
        </w:tc>
        <w:tc>
          <w:tcPr>
            <w:tcW w:type="dxa" w:w="2000"/>
          </w:tcPr>
          <w:p>
            <w:r>
              <w:rPr>
                <w:b w:val="false"/>
                <w:bCs w:val="false"/>
                <w:color w:val="000000"/>
                <w:sz w:val="16"/>
                <w:szCs w:val="16"/>
              </w:rPr>
              <w:t xml:space="preserve">Texte</w:t>
            </w:r>
          </w:p>
        </w:tc>
        <w:tc>
          <w:tcPr>
            <w:tcW w:type="dxa" w:w="5000"/>
          </w:tcPr>
          <w:p>
            <w:r>
              <w:rPr>
                <w:b w:val="false"/>
                <w:bCs w:val="false"/>
                <w:color w:val="000000"/>
                <w:sz w:val="16"/>
                <w:szCs w:val="16"/>
              </w:rPr>
              <w:t xml:space="preserve">Référence à la version des facteurs d'émission utilisée (traçabilité, voir 3.5)</w:t>
            </w:r>
          </w:p>
        </w:tc>
      </w:tr>
      <w:tr>
        <w:tc>
          <w:tcPr>
            <w:tcW w:type="dxa" w:w="2600"/>
          </w:tcPr>
          <w:p>
            <w:r>
              <w:rPr>
                <w:b w:val="false"/>
                <w:bCs w:val="false"/>
                <w:color w:val="000000"/>
                <w:sz w:val="16"/>
                <w:szCs w:val="16"/>
              </w:rPr>
              <w:t xml:space="preserve">statut_validation</w:t>
            </w:r>
          </w:p>
        </w:tc>
        <w:tc>
          <w:tcPr>
            <w:tcW w:type="dxa" w:w="2000"/>
          </w:tcPr>
          <w:p>
            <w:r>
              <w:rPr>
                <w:b w:val="false"/>
                <w:bCs w:val="false"/>
                <w:color w:val="000000"/>
                <w:sz w:val="16"/>
                <w:szCs w:val="16"/>
              </w:rPr>
              <w:t xml:space="preserve">Enum</w:t>
            </w:r>
          </w:p>
        </w:tc>
        <w:tc>
          <w:tcPr>
            <w:tcW w:type="dxa" w:w="5000"/>
          </w:tcPr>
          <w:p>
            <w:r>
              <w:rPr>
                <w:b w:val="false"/>
                <w:bCs w:val="false"/>
                <w:color w:val="000000"/>
                <w:sz w:val="16"/>
                <w:szCs w:val="16"/>
              </w:rPr>
              <w:t xml:space="preserve">Auto-déclaré / Validé CDC (pertinent surtout pour le niveau 3, voir Cahier des charges 4.9)</w:t>
            </w:r>
          </w:p>
        </w:tc>
      </w:tr>
    </w:tbl>
    <w:p>
      <w:pPr>
        <w:pStyle w:val="Heading2"/>
        <w:spacing w:after="100" w:before="200"/>
      </w:pPr>
      <w:r>
        <w:t xml:space="preserve">3.3 Table reponses_donnees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00"/>
      </w:tblGrid>
      <w:tr>
        <w:tc>
          <w:tcPr>
            <w:tcW w:type="dxa" w:w="2200"/>
            <w:shd w:fill="2B2B2B" w:val="clear"/>
          </w:tcPr>
          <w:p>
            <w:r>
              <w:rPr>
                <w:b/>
                <w:bCs/>
                <w:color w:val="FFFFFF"/>
                <w:sz w:val="16"/>
                <w:szCs w:val="16"/>
              </w:rPr>
              <w:t xml:space="preserve">Champ</w:t>
            </w:r>
          </w:p>
        </w:tc>
        <w:tc>
          <w:tcPr>
            <w:tcW w:type="dxa" w:w="2000"/>
            <w:shd w:fill="2B2B2B" w:val="clear"/>
          </w:tcPr>
          <w:p>
            <w:r>
              <w:rPr>
                <w:b/>
                <w:bCs/>
                <w:color w:val="FFFFFF"/>
                <w:sz w:val="16"/>
                <w:szCs w:val="16"/>
              </w:rPr>
              <w:t xml:space="preserve">Type</w:t>
            </w:r>
          </w:p>
        </w:tc>
        <w:tc>
          <w:tcPr>
            <w:tcW w:type="dxa" w:w="5400"/>
            <w:shd w:fill="2B2B2B" w:val="clear"/>
          </w:tcPr>
          <w:p>
            <w:r>
              <w:rPr>
                <w:b/>
                <w:bCs/>
                <w:color w:val="FFFFFF"/>
                <w:sz w:val="16"/>
                <w:szCs w:val="16"/>
              </w:rPr>
              <w:t xml:space="preserve">Description</w:t>
            </w:r>
          </w:p>
        </w:tc>
      </w:tr>
      <w:tr>
        <w:tc>
          <w:tcPr>
            <w:tcW w:type="dxa" w:w="2200"/>
          </w:tcPr>
          <w:p>
            <w:r>
              <w:rPr>
                <w:b w:val="false"/>
                <w:bCs w:val="false"/>
                <w:color w:val="000000"/>
                <w:sz w:val="16"/>
                <w:szCs w:val="16"/>
              </w:rPr>
              <w:t xml:space="preserve">id_reponse</w:t>
            </w:r>
          </w:p>
        </w:tc>
        <w:tc>
          <w:tcPr>
            <w:tcW w:type="dxa" w:w="2000"/>
          </w:tcPr>
          <w:p>
            <w:r>
              <w:rPr>
                <w:b w:val="false"/>
                <w:bCs w:val="false"/>
                <w:color w:val="000000"/>
                <w:sz w:val="16"/>
                <w:szCs w:val="16"/>
              </w:rPr>
              <w:t xml:space="preserve">Identifiant unique</w:t>
            </w:r>
          </w:p>
        </w:tc>
        <w:tc>
          <w:tcPr>
            <w:tcW w:type="dxa" w:w="5400"/>
          </w:tcPr>
          <w:p>
            <w:r>
              <w:rPr>
                <w:b w:val="false"/>
                <w:bCs w:val="false"/>
                <w:color w:val="000000"/>
                <w:sz w:val="16"/>
                <w:szCs w:val="16"/>
              </w:rPr>
              <w:t xml:space="preserve">Clé primaire</w:t>
            </w:r>
          </w:p>
        </w:tc>
      </w:tr>
      <w:tr>
        <w:tc>
          <w:tcPr>
            <w:tcW w:type="dxa" w:w="2200"/>
          </w:tcPr>
          <w:p>
            <w:r>
              <w:rPr>
                <w:b w:val="false"/>
                <w:bCs w:val="false"/>
                <w:color w:val="000000"/>
                <w:sz w:val="16"/>
                <w:szCs w:val="16"/>
              </w:rPr>
              <w:t xml:space="preserve">id_bilan</w:t>
            </w:r>
          </w:p>
        </w:tc>
        <w:tc>
          <w:tcPr>
            <w:tcW w:type="dxa" w:w="2000"/>
          </w:tcPr>
          <w:p>
            <w:r>
              <w:rPr>
                <w:b w:val="false"/>
                <w:bCs w:val="false"/>
                <w:color w:val="000000"/>
                <w:sz w:val="16"/>
                <w:szCs w:val="16"/>
              </w:rPr>
              <w:t xml:space="preserve">Clé étrangère</w:t>
            </w:r>
          </w:p>
        </w:tc>
        <w:tc>
          <w:tcPr>
            <w:tcW w:type="dxa" w:w="5400"/>
          </w:tcPr>
          <w:p>
            <w:r>
              <w:rPr>
                <w:b w:val="false"/>
                <w:bCs w:val="false"/>
                <w:color w:val="000000"/>
                <w:sz w:val="16"/>
                <w:szCs w:val="16"/>
              </w:rPr>
              <w:t xml:space="preserve">Référence au bilan</w:t>
            </w:r>
          </w:p>
        </w:tc>
      </w:tr>
      <w:tr>
        <w:tc>
          <w:tcPr>
            <w:tcW w:type="dxa" w:w="2200"/>
          </w:tcPr>
          <w:p>
            <w:r>
              <w:rPr>
                <w:b w:val="false"/>
                <w:bCs w:val="false"/>
                <w:color w:val="000000"/>
                <w:sz w:val="16"/>
                <w:szCs w:val="16"/>
              </w:rPr>
              <w:t xml:space="preserve">code_champ</w:t>
            </w:r>
          </w:p>
        </w:tc>
        <w:tc>
          <w:tcPr>
            <w:tcW w:type="dxa" w:w="2000"/>
          </w:tcPr>
          <w:p>
            <w:r>
              <w:rPr>
                <w:b w:val="false"/>
                <w:bCs w:val="false"/>
                <w:color w:val="000000"/>
                <w:sz w:val="16"/>
                <w:szCs w:val="16"/>
              </w:rPr>
              <w:t xml:space="preserve">Texte</w:t>
            </w:r>
          </w:p>
        </w:tc>
        <w:tc>
          <w:tcPr>
            <w:tcW w:type="dxa" w:w="5400"/>
          </w:tcPr>
          <w:p>
            <w:r>
              <w:rPr>
                <w:b w:val="false"/>
                <w:bCs w:val="false"/>
                <w:color w:val="000000"/>
                <w:sz w:val="16"/>
                <w:szCs w:val="16"/>
              </w:rPr>
              <w:t xml:space="preserve">Identifiant du paramètre (ex. elec_kwh, transport_km_essence — voir Framework, section 6, par secteur)</w:t>
            </w:r>
          </w:p>
        </w:tc>
      </w:tr>
      <w:tr>
        <w:tc>
          <w:tcPr>
            <w:tcW w:type="dxa" w:w="2200"/>
          </w:tcPr>
          <w:p>
            <w:r>
              <w:rPr>
                <w:b w:val="false"/>
                <w:bCs w:val="false"/>
                <w:color w:val="000000"/>
                <w:sz w:val="16"/>
                <w:szCs w:val="16"/>
              </w:rPr>
              <w:t xml:space="preserve">valeur</w:t>
            </w:r>
          </w:p>
        </w:tc>
        <w:tc>
          <w:tcPr>
            <w:tcW w:type="dxa" w:w="2000"/>
          </w:tcPr>
          <w:p>
            <w:r>
              <w:rPr>
                <w:b w:val="false"/>
                <w:bCs w:val="false"/>
                <w:color w:val="000000"/>
                <w:sz w:val="16"/>
                <w:szCs w:val="16"/>
              </w:rPr>
              <w:t xml:space="preserve">Numérique ou texte</w:t>
            </w:r>
          </w:p>
        </w:tc>
        <w:tc>
          <w:tcPr>
            <w:tcW w:type="dxa" w:w="5400"/>
          </w:tcPr>
          <w:p>
            <w:r>
              <w:rPr>
                <w:b w:val="false"/>
                <w:bCs w:val="false"/>
                <w:color w:val="000000"/>
                <w:sz w:val="16"/>
                <w:szCs w:val="16"/>
              </w:rPr>
              <w:t xml:space="preserve">Valeur saisie par l'utilisateur</w:t>
            </w:r>
          </w:p>
        </w:tc>
      </w:tr>
      <w:tr>
        <w:tc>
          <w:tcPr>
            <w:tcW w:type="dxa" w:w="2200"/>
          </w:tcPr>
          <w:p>
            <w:r>
              <w:rPr>
                <w:b w:val="false"/>
                <w:bCs w:val="false"/>
                <w:color w:val="000000"/>
                <w:sz w:val="16"/>
                <w:szCs w:val="16"/>
              </w:rPr>
              <w:t xml:space="preserve">unite</w:t>
            </w:r>
          </w:p>
        </w:tc>
        <w:tc>
          <w:tcPr>
            <w:tcW w:type="dxa" w:w="2000"/>
          </w:tcPr>
          <w:p>
            <w:r>
              <w:rPr>
                <w:b w:val="false"/>
                <w:bCs w:val="false"/>
                <w:color w:val="000000"/>
                <w:sz w:val="16"/>
                <w:szCs w:val="16"/>
              </w:rPr>
              <w:t xml:space="preserve">Texte</w:t>
            </w:r>
          </w:p>
        </w:tc>
        <w:tc>
          <w:tcPr>
            <w:tcW w:type="dxa" w:w="5400"/>
          </w:tcPr>
          <w:p>
            <w:r>
              <w:rPr>
                <w:b w:val="false"/>
                <w:bCs w:val="false"/>
                <w:color w:val="000000"/>
                <w:sz w:val="16"/>
                <w:szCs w:val="16"/>
              </w:rPr>
              <w:t xml:space="preserve">kWh, L, m³, km, kg, %, etc.</w:t>
            </w:r>
          </w:p>
        </w:tc>
      </w:tr>
      <w:tr>
        <w:tc>
          <w:tcPr>
            <w:tcW w:type="dxa" w:w="2200"/>
          </w:tcPr>
          <w:p>
            <w:r>
              <w:rPr>
                <w:b w:val="false"/>
                <w:bCs w:val="false"/>
                <w:color w:val="000000"/>
                <w:sz w:val="16"/>
                <w:szCs w:val="16"/>
              </w:rPr>
              <w:t xml:space="preserve">qualite_donnee</w:t>
            </w:r>
          </w:p>
        </w:tc>
        <w:tc>
          <w:tcPr>
            <w:tcW w:type="dxa" w:w="2000"/>
          </w:tcPr>
          <w:p>
            <w:r>
              <w:rPr>
                <w:b w:val="false"/>
                <w:bCs w:val="false"/>
                <w:color w:val="000000"/>
                <w:sz w:val="16"/>
                <w:szCs w:val="16"/>
              </w:rPr>
              <w:t xml:space="preserve">Enum</w:t>
            </w:r>
          </w:p>
        </w:tc>
        <w:tc>
          <w:tcPr>
            <w:tcW w:type="dxa" w:w="5400"/>
          </w:tcPr>
          <w:p>
            <w:r>
              <w:rPr>
                <w:b w:val="false"/>
                <w:bCs w:val="false"/>
                <w:color w:val="000000"/>
                <w:sz w:val="16"/>
                <w:szCs w:val="16"/>
              </w:rPr>
              <w:t xml:space="preserve">Mesurée / Facturée / Estimée (alimente le Data Quality Index, voir 4.2)</w:t>
            </w:r>
          </w:p>
        </w:tc>
      </w:tr>
    </w:tbl>
    <w:p>
      <w:pPr>
        <w:spacing w:after="140"/>
        <w:jc w:val="both"/>
      </w:pPr>
      <w:r>
        <w:rPr>
          <w:i/>
          <w:iCs/>
          <w:color w:val="5F5E5A"/>
          <w:sz w:val="19"/>
          <w:szCs w:val="19"/>
        </w:rPr>
        <w:t xml:space="preserve">Cette table est volontairement générique (modèle clé-valeur) plutôt qu'une colonne par paramètre, étant donné le nombre élevé de paramètres distincts selon les 11 secteurs et 3 niveaux (plusieurs centaines au total). Le code_champ renvoie au dictionnaire complet des paramètres par secteur fourni dans le document Framework, section 6.</w:t>
      </w:r>
    </w:p>
    <w:p>
      <w:pPr>
        <w:pStyle w:val="Heading2"/>
        <w:spacing w:after="100" w:before="200"/>
      </w:pPr>
      <w:r>
        <w:t xml:space="preserve">3.4 Table facteurs_emission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shd w:fill="2B2B2B" w:val="clear"/>
          </w:tcPr>
          <w:p>
            <w:r>
              <w:rPr>
                <w:b/>
                <w:bCs/>
                <w:color w:val="FFFFFF"/>
                <w:sz w:val="16"/>
                <w:szCs w:val="16"/>
              </w:rPr>
              <w:t xml:space="preserve">Champ</w:t>
            </w:r>
          </w:p>
        </w:tc>
        <w:tc>
          <w:tcPr>
            <w:tcW w:type="dxa" w:w="2000"/>
            <w:shd w:fill="2B2B2B" w:val="clear"/>
          </w:tcPr>
          <w:p>
            <w:r>
              <w:rPr>
                <w:b/>
                <w:bCs/>
                <w:color w:val="FFFFFF"/>
                <w:sz w:val="16"/>
                <w:szCs w:val="16"/>
              </w:rPr>
              <w:t xml:space="preserve">Type</w:t>
            </w:r>
          </w:p>
        </w:tc>
        <w:tc>
          <w:tcPr>
            <w:tcW w:type="dxa" w:w="5000"/>
            <w:shd w:fill="2B2B2B" w:val="clear"/>
          </w:tcPr>
          <w:p>
            <w:r>
              <w:rPr>
                <w:b/>
                <w:bCs/>
                <w:color w:val="FFFFFF"/>
                <w:sz w:val="16"/>
                <w:szCs w:val="16"/>
              </w:rPr>
              <w:t xml:space="preserve">Description</w:t>
            </w:r>
          </w:p>
        </w:tc>
      </w:tr>
      <w:tr>
        <w:tc>
          <w:tcPr>
            <w:tcW w:type="dxa" w:w="2400"/>
          </w:tcPr>
          <w:p>
            <w:r>
              <w:rPr>
                <w:b w:val="false"/>
                <w:bCs w:val="false"/>
                <w:color w:val="000000"/>
                <w:sz w:val="16"/>
                <w:szCs w:val="16"/>
              </w:rPr>
              <w:t xml:space="preserve">id_facteur</w:t>
            </w:r>
          </w:p>
        </w:tc>
        <w:tc>
          <w:tcPr>
            <w:tcW w:type="dxa" w:w="2000"/>
          </w:tcPr>
          <w:p>
            <w:r>
              <w:rPr>
                <w:b w:val="false"/>
                <w:bCs w:val="false"/>
                <w:color w:val="000000"/>
                <w:sz w:val="16"/>
                <w:szCs w:val="16"/>
              </w:rPr>
              <w:t xml:space="preserve">Identifiant unique</w:t>
            </w:r>
          </w:p>
        </w:tc>
        <w:tc>
          <w:tcPr>
            <w:tcW w:type="dxa" w:w="5000"/>
          </w:tcPr>
          <w:p>
            <w:r>
              <w:rPr>
                <w:b w:val="false"/>
                <w:bCs w:val="false"/>
                <w:color w:val="000000"/>
                <w:sz w:val="16"/>
                <w:szCs w:val="16"/>
              </w:rPr>
              <w:t xml:space="preserve">Clé primaire</w:t>
            </w:r>
          </w:p>
        </w:tc>
      </w:tr>
      <w:tr>
        <w:tc>
          <w:tcPr>
            <w:tcW w:type="dxa" w:w="2400"/>
          </w:tcPr>
          <w:p>
            <w:r>
              <w:rPr>
                <w:b w:val="false"/>
                <w:bCs w:val="false"/>
                <w:color w:val="000000"/>
                <w:sz w:val="16"/>
                <w:szCs w:val="16"/>
              </w:rPr>
              <w:t xml:space="preserve">code_poste</w:t>
            </w:r>
          </w:p>
        </w:tc>
        <w:tc>
          <w:tcPr>
            <w:tcW w:type="dxa" w:w="2000"/>
          </w:tcPr>
          <w:p>
            <w:r>
              <w:rPr>
                <w:b w:val="false"/>
                <w:bCs w:val="false"/>
                <w:color w:val="000000"/>
                <w:sz w:val="16"/>
                <w:szCs w:val="16"/>
              </w:rPr>
              <w:t xml:space="preserve">Texte</w:t>
            </w:r>
          </w:p>
        </w:tc>
        <w:tc>
          <w:tcPr>
            <w:tcW w:type="dxa" w:w="5000"/>
          </w:tcPr>
          <w:p>
            <w:r>
              <w:rPr>
                <w:b w:val="false"/>
                <w:bCs w:val="false"/>
                <w:color w:val="000000"/>
                <w:sz w:val="16"/>
                <w:szCs w:val="16"/>
              </w:rPr>
              <w:t xml:space="preserve">Ex. electricite_qc, essence_auto, viande_bovine</w:t>
            </w:r>
          </w:p>
        </w:tc>
      </w:tr>
      <w:tr>
        <w:tc>
          <w:tcPr>
            <w:tcW w:type="dxa" w:w="2400"/>
          </w:tcPr>
          <w:p>
            <w:r>
              <w:rPr>
                <w:b w:val="false"/>
                <w:bCs w:val="false"/>
                <w:color w:val="000000"/>
                <w:sz w:val="16"/>
                <w:szCs w:val="16"/>
              </w:rPr>
              <w:t xml:space="preserve">valeur</w:t>
            </w:r>
          </w:p>
        </w:tc>
        <w:tc>
          <w:tcPr>
            <w:tcW w:type="dxa" w:w="2000"/>
          </w:tcPr>
          <w:p>
            <w:r>
              <w:rPr>
                <w:b w:val="false"/>
                <w:bCs w:val="false"/>
                <w:color w:val="000000"/>
                <w:sz w:val="16"/>
                <w:szCs w:val="16"/>
              </w:rPr>
              <w:t xml:space="preserve">Numérique</w:t>
            </w:r>
          </w:p>
        </w:tc>
        <w:tc>
          <w:tcPr>
            <w:tcW w:type="dxa" w:w="5000"/>
          </w:tcPr>
          <w:p>
            <w:r>
              <w:rPr>
                <w:b w:val="false"/>
                <w:bCs w:val="false"/>
                <w:color w:val="000000"/>
                <w:sz w:val="16"/>
                <w:szCs w:val="16"/>
              </w:rPr>
              <w:t xml:space="preserve">Valeur du facteur (ex. 34,5 g éq. CO₂/kWh)</w:t>
            </w:r>
          </w:p>
        </w:tc>
      </w:tr>
      <w:tr>
        <w:tc>
          <w:tcPr>
            <w:tcW w:type="dxa" w:w="2400"/>
          </w:tcPr>
          <w:p>
            <w:r>
              <w:rPr>
                <w:b w:val="false"/>
                <w:bCs w:val="false"/>
                <w:color w:val="000000"/>
                <w:sz w:val="16"/>
                <w:szCs w:val="16"/>
              </w:rPr>
              <w:t xml:space="preserve">unite</w:t>
            </w:r>
          </w:p>
        </w:tc>
        <w:tc>
          <w:tcPr>
            <w:tcW w:type="dxa" w:w="2000"/>
          </w:tcPr>
          <w:p>
            <w:r>
              <w:rPr>
                <w:b w:val="false"/>
                <w:bCs w:val="false"/>
                <w:color w:val="000000"/>
                <w:sz w:val="16"/>
                <w:szCs w:val="16"/>
              </w:rPr>
              <w:t xml:space="preserve">Texte</w:t>
            </w:r>
          </w:p>
        </w:tc>
        <w:tc>
          <w:tcPr>
            <w:tcW w:type="dxa" w:w="5000"/>
          </w:tcPr>
          <w:p>
            <w:r>
              <w:rPr>
                <w:b w:val="false"/>
                <w:bCs w:val="false"/>
                <w:color w:val="000000"/>
                <w:sz w:val="16"/>
                <w:szCs w:val="16"/>
              </w:rPr>
              <w:t xml:space="preserve">g CO₂e/kWh, kg CO₂e/L, kg CO₂e/kg, etc.</w:t>
            </w:r>
          </w:p>
        </w:tc>
      </w:tr>
      <w:tr>
        <w:tc>
          <w:tcPr>
            <w:tcW w:type="dxa" w:w="2400"/>
          </w:tcPr>
          <w:p>
            <w:r>
              <w:rPr>
                <w:b w:val="false"/>
                <w:bCs w:val="false"/>
                <w:color w:val="000000"/>
                <w:sz w:val="16"/>
                <w:szCs w:val="16"/>
              </w:rPr>
              <w:t xml:space="preserve">source</w:t>
            </w:r>
          </w:p>
        </w:tc>
        <w:tc>
          <w:tcPr>
            <w:tcW w:type="dxa" w:w="2000"/>
          </w:tcPr>
          <w:p>
            <w:r>
              <w:rPr>
                <w:b w:val="false"/>
                <w:bCs w:val="false"/>
                <w:color w:val="000000"/>
                <w:sz w:val="16"/>
                <w:szCs w:val="16"/>
              </w:rPr>
              <w:t xml:space="preserve">Texte</w:t>
            </w:r>
          </w:p>
        </w:tc>
        <w:tc>
          <w:tcPr>
            <w:tcW w:type="dxa" w:w="5000"/>
          </w:tcPr>
          <w:p>
            <w:r>
              <w:rPr>
                <w:b w:val="false"/>
                <w:bCs w:val="false"/>
                <w:color w:val="000000"/>
                <w:sz w:val="16"/>
                <w:szCs w:val="16"/>
              </w:rPr>
              <w:t xml:space="preserve">MELCCFP, Hydro-Québec, ADEME, GHG Protocol, etc. (voir Framework, Références)</w:t>
            </w:r>
          </w:p>
        </w:tc>
      </w:tr>
      <w:tr>
        <w:tc>
          <w:tcPr>
            <w:tcW w:type="dxa" w:w="2400"/>
          </w:tcPr>
          <w:p>
            <w:r>
              <w:rPr>
                <w:b w:val="false"/>
                <w:bCs w:val="false"/>
                <w:color w:val="000000"/>
                <w:sz w:val="16"/>
                <w:szCs w:val="16"/>
              </w:rPr>
              <w:t xml:space="preserve">annee_publication</w:t>
            </w:r>
          </w:p>
        </w:tc>
        <w:tc>
          <w:tcPr>
            <w:tcW w:type="dxa" w:w="2000"/>
          </w:tcPr>
          <w:p>
            <w:r>
              <w:rPr>
                <w:b w:val="false"/>
                <w:bCs w:val="false"/>
                <w:color w:val="000000"/>
                <w:sz w:val="16"/>
                <w:szCs w:val="16"/>
              </w:rPr>
              <w:t xml:space="preserve">Année</w:t>
            </w:r>
          </w:p>
        </w:tc>
        <w:tc>
          <w:tcPr>
            <w:tcW w:type="dxa" w:w="5000"/>
          </w:tcPr>
          <w:p>
            <w:r>
              <w:rPr>
                <w:b w:val="false"/>
                <w:bCs w:val="false"/>
                <w:color w:val="000000"/>
                <w:sz w:val="16"/>
                <w:szCs w:val="16"/>
              </w:rPr>
              <w:t xml:space="preserve">Année de la donnée source</w:t>
            </w:r>
          </w:p>
        </w:tc>
      </w:tr>
      <w:tr>
        <w:tc>
          <w:tcPr>
            <w:tcW w:type="dxa" w:w="2400"/>
          </w:tcPr>
          <w:p>
            <w:r>
              <w:rPr>
                <w:b w:val="false"/>
                <w:bCs w:val="false"/>
                <w:color w:val="000000"/>
                <w:sz w:val="16"/>
                <w:szCs w:val="16"/>
              </w:rPr>
              <w:t xml:space="preserve">date_maj_interne</w:t>
            </w:r>
          </w:p>
        </w:tc>
        <w:tc>
          <w:tcPr>
            <w:tcW w:type="dxa" w:w="2000"/>
          </w:tcPr>
          <w:p>
            <w:r>
              <w:rPr>
                <w:b w:val="false"/>
                <w:bCs w:val="false"/>
                <w:color w:val="000000"/>
                <w:sz w:val="16"/>
                <w:szCs w:val="16"/>
              </w:rPr>
              <w:t xml:space="preserve">Date</w:t>
            </w:r>
          </w:p>
        </w:tc>
        <w:tc>
          <w:tcPr>
            <w:tcW w:type="dxa" w:w="5000"/>
          </w:tcPr>
          <w:p>
            <w:r>
              <w:rPr>
                <w:b w:val="false"/>
                <w:bCs w:val="false"/>
                <w:color w:val="000000"/>
                <w:sz w:val="16"/>
                <w:szCs w:val="16"/>
              </w:rPr>
              <w:t xml:space="preserve">Date d'intégration dans la base de l'outil</w:t>
            </w:r>
          </w:p>
        </w:tc>
      </w:tr>
    </w:tbl>
    <w:p>
      <w:pPr>
        <w:spacing w:after="140"/>
        <w:jc w:val="both"/>
      </w:pPr>
      <w:r>
        <w:rPr>
          <w:i/>
          <w:iCs/>
          <w:color w:val="5F5E5A"/>
          <w:sz w:val="19"/>
          <w:szCs w:val="19"/>
        </w:rPr>
        <w:t xml:space="preserve">Cette table doit être révisée annuellement (les facteurs d'Hydro-Québec et du MELCCFP sont mis à jour chaque année), sans jamais modifier rétroactivement les résultats déjà calculés pour les années antérieures — voir la justification en section 6.</w:t>
      </w:r>
    </w:p>
    <w:p>
      <w:pPr>
        <w:pStyle w:val="Heading2"/>
        <w:spacing w:after="100" w:before="200"/>
      </w:pPr>
      <w:r>
        <w:t xml:space="preserve">3.5 Table resultats_calcules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shd w:fill="2B2B2B" w:val="clear"/>
          </w:tcPr>
          <w:p>
            <w:r>
              <w:rPr>
                <w:b/>
                <w:bCs/>
                <w:color w:val="FFFFFF"/>
                <w:sz w:val="16"/>
                <w:szCs w:val="16"/>
              </w:rPr>
              <w:t xml:space="preserve">Champ</w:t>
            </w:r>
          </w:p>
        </w:tc>
        <w:tc>
          <w:tcPr>
            <w:tcW w:type="dxa" w:w="2000"/>
            <w:shd w:fill="2B2B2B" w:val="clear"/>
          </w:tcPr>
          <w:p>
            <w:r>
              <w:rPr>
                <w:b/>
                <w:bCs/>
                <w:color w:val="FFFFFF"/>
                <w:sz w:val="16"/>
                <w:szCs w:val="16"/>
              </w:rPr>
              <w:t xml:space="preserve">Type</w:t>
            </w:r>
          </w:p>
        </w:tc>
        <w:tc>
          <w:tcPr>
            <w:tcW w:type="dxa" w:w="5000"/>
            <w:shd w:fill="2B2B2B" w:val="clear"/>
          </w:tcPr>
          <w:p>
            <w:r>
              <w:rPr>
                <w:b/>
                <w:bCs/>
                <w:color w:val="FFFFFF"/>
                <w:sz w:val="16"/>
                <w:szCs w:val="16"/>
              </w:rPr>
              <w:t xml:space="preserve">Description</w:t>
            </w:r>
          </w:p>
        </w:tc>
      </w:tr>
      <w:tr>
        <w:tc>
          <w:tcPr>
            <w:tcW w:type="dxa" w:w="2400"/>
          </w:tcPr>
          <w:p>
            <w:r>
              <w:rPr>
                <w:b w:val="false"/>
                <w:bCs w:val="false"/>
                <w:color w:val="000000"/>
                <w:sz w:val="16"/>
                <w:szCs w:val="16"/>
              </w:rPr>
              <w:t xml:space="preserve">id_resultat</w:t>
            </w:r>
          </w:p>
        </w:tc>
        <w:tc>
          <w:tcPr>
            <w:tcW w:type="dxa" w:w="2000"/>
          </w:tcPr>
          <w:p>
            <w:r>
              <w:rPr>
                <w:b w:val="false"/>
                <w:bCs w:val="false"/>
                <w:color w:val="000000"/>
                <w:sz w:val="16"/>
                <w:szCs w:val="16"/>
              </w:rPr>
              <w:t xml:space="preserve">Identifiant unique</w:t>
            </w:r>
          </w:p>
        </w:tc>
        <w:tc>
          <w:tcPr>
            <w:tcW w:type="dxa" w:w="5000"/>
          </w:tcPr>
          <w:p>
            <w:r>
              <w:rPr>
                <w:b w:val="false"/>
                <w:bCs w:val="false"/>
                <w:color w:val="000000"/>
                <w:sz w:val="16"/>
                <w:szCs w:val="16"/>
              </w:rPr>
              <w:t xml:space="preserve">Clé primaire</w:t>
            </w:r>
          </w:p>
        </w:tc>
      </w:tr>
      <w:tr>
        <w:tc>
          <w:tcPr>
            <w:tcW w:type="dxa" w:w="2400"/>
          </w:tcPr>
          <w:p>
            <w:r>
              <w:rPr>
                <w:b w:val="false"/>
                <w:bCs w:val="false"/>
                <w:color w:val="000000"/>
                <w:sz w:val="16"/>
                <w:szCs w:val="16"/>
              </w:rPr>
              <w:t xml:space="preserve">id_bilan</w:t>
            </w:r>
          </w:p>
        </w:tc>
        <w:tc>
          <w:tcPr>
            <w:tcW w:type="dxa" w:w="2000"/>
          </w:tcPr>
          <w:p>
            <w:r>
              <w:rPr>
                <w:b w:val="false"/>
                <w:bCs w:val="false"/>
                <w:color w:val="000000"/>
                <w:sz w:val="16"/>
                <w:szCs w:val="16"/>
              </w:rPr>
              <w:t xml:space="preserve">Clé étrangère</w:t>
            </w:r>
          </w:p>
        </w:tc>
        <w:tc>
          <w:tcPr>
            <w:tcW w:type="dxa" w:w="5000"/>
          </w:tcPr>
          <w:p>
            <w:r>
              <w:rPr>
                <w:b w:val="false"/>
                <w:bCs w:val="false"/>
                <w:color w:val="000000"/>
                <w:sz w:val="16"/>
                <w:szCs w:val="16"/>
              </w:rPr>
              <w:t xml:space="preserve">Référence au bilan</w:t>
            </w:r>
          </w:p>
        </w:tc>
      </w:tr>
      <w:tr>
        <w:tc>
          <w:tcPr>
            <w:tcW w:type="dxa" w:w="2400"/>
          </w:tcPr>
          <w:p>
            <w:r>
              <w:rPr>
                <w:b w:val="false"/>
                <w:bCs w:val="false"/>
                <w:color w:val="000000"/>
                <w:sz w:val="16"/>
                <w:szCs w:val="16"/>
              </w:rPr>
              <w:t xml:space="preserve">poste</w:t>
            </w:r>
          </w:p>
        </w:tc>
        <w:tc>
          <w:tcPr>
            <w:tcW w:type="dxa" w:w="2000"/>
          </w:tcPr>
          <w:p>
            <w:r>
              <w:rPr>
                <w:b w:val="false"/>
                <w:bCs w:val="false"/>
                <w:color w:val="000000"/>
                <w:sz w:val="16"/>
                <w:szCs w:val="16"/>
              </w:rPr>
              <w:t xml:space="preserve">Texte</w:t>
            </w:r>
          </w:p>
        </w:tc>
        <w:tc>
          <w:tcPr>
            <w:tcW w:type="dxa" w:w="5000"/>
          </w:tcPr>
          <w:p>
            <w:r>
              <w:rPr>
                <w:b w:val="false"/>
                <w:bCs w:val="false"/>
                <w:color w:val="000000"/>
                <w:sz w:val="16"/>
                <w:szCs w:val="16"/>
              </w:rPr>
              <w:t xml:space="preserve">Ex. énergie, chauffage, mobilité, alimentation, biens, déchets, infrastructures</w:t>
            </w:r>
          </w:p>
        </w:tc>
      </w:tr>
      <w:tr>
        <w:tc>
          <w:tcPr>
            <w:tcW w:type="dxa" w:w="2400"/>
          </w:tcPr>
          <w:p>
            <w:r>
              <w:rPr>
                <w:b w:val="false"/>
                <w:bCs w:val="false"/>
                <w:color w:val="000000"/>
                <w:sz w:val="16"/>
                <w:szCs w:val="16"/>
              </w:rPr>
              <w:t xml:space="preserve">type_valeur</w:t>
            </w:r>
          </w:p>
        </w:tc>
        <w:tc>
          <w:tcPr>
            <w:tcW w:type="dxa" w:w="2000"/>
          </w:tcPr>
          <w:p>
            <w:r>
              <w:rPr>
                <w:b w:val="false"/>
                <w:bCs w:val="false"/>
                <w:color w:val="000000"/>
                <w:sz w:val="16"/>
                <w:szCs w:val="16"/>
              </w:rPr>
              <w:t xml:space="preserve">Enum</w:t>
            </w:r>
          </w:p>
        </w:tc>
        <w:tc>
          <w:tcPr>
            <w:tcW w:type="dxa" w:w="5000"/>
          </w:tcPr>
          <w:p>
            <w:r>
              <w:rPr>
                <w:b w:val="false"/>
                <w:bCs w:val="false"/>
                <w:color w:val="000000"/>
                <w:sz w:val="16"/>
                <w:szCs w:val="16"/>
              </w:rPr>
              <w:t xml:space="preserve">Brut (E_sources) / Séquestration (S) / Réduction (R)</w:t>
            </w:r>
          </w:p>
        </w:tc>
      </w:tr>
      <w:tr>
        <w:tc>
          <w:tcPr>
            <w:tcW w:type="dxa" w:w="2400"/>
          </w:tcPr>
          <w:p>
            <w:r>
              <w:rPr>
                <w:b w:val="false"/>
                <w:bCs w:val="false"/>
                <w:color w:val="000000"/>
                <w:sz w:val="16"/>
                <w:szCs w:val="16"/>
              </w:rPr>
              <w:t xml:space="preserve">valeur_kgco2e</w:t>
            </w:r>
          </w:p>
        </w:tc>
        <w:tc>
          <w:tcPr>
            <w:tcW w:type="dxa" w:w="2000"/>
          </w:tcPr>
          <w:p>
            <w:r>
              <w:rPr>
                <w:b w:val="false"/>
                <w:bCs w:val="false"/>
                <w:color w:val="000000"/>
                <w:sz w:val="16"/>
                <w:szCs w:val="16"/>
              </w:rPr>
              <w:t xml:space="preserve">Numérique</w:t>
            </w:r>
          </w:p>
        </w:tc>
        <w:tc>
          <w:tcPr>
            <w:tcW w:type="dxa" w:w="5000"/>
          </w:tcPr>
          <w:p>
            <w:r>
              <w:rPr>
                <w:b w:val="false"/>
                <w:bCs w:val="false"/>
                <w:color w:val="000000"/>
                <w:sz w:val="16"/>
                <w:szCs w:val="16"/>
              </w:rPr>
              <w:t xml:space="preserve">Résultat du calcul, en kg CO₂-équivalent</w:t>
            </w:r>
          </w:p>
        </w:tc>
      </w:tr>
      <w:tr>
        <w:tc>
          <w:tcPr>
            <w:tcW w:type="dxa" w:w="2400"/>
          </w:tcPr>
          <w:p>
            <w:r>
              <w:rPr>
                <w:b w:val="false"/>
                <w:bCs w:val="false"/>
                <w:color w:val="000000"/>
                <w:sz w:val="16"/>
                <w:szCs w:val="16"/>
              </w:rPr>
              <w:t xml:space="preserve">dqi_poste</w:t>
            </w:r>
          </w:p>
        </w:tc>
        <w:tc>
          <w:tcPr>
            <w:tcW w:type="dxa" w:w="2000"/>
          </w:tcPr>
          <w:p>
            <w:r>
              <w:rPr>
                <w:b w:val="false"/>
                <w:bCs w:val="false"/>
                <w:color w:val="000000"/>
                <w:sz w:val="16"/>
                <w:szCs w:val="16"/>
              </w:rPr>
              <w:t xml:space="preserve">Numérique (0 à 1)</w:t>
            </w:r>
          </w:p>
        </w:tc>
        <w:tc>
          <w:tcPr>
            <w:tcW w:type="dxa" w:w="5000"/>
          </w:tcPr>
          <w:p>
            <w:r>
              <w:rPr>
                <w:b w:val="false"/>
                <w:bCs w:val="false"/>
                <w:color w:val="000000"/>
                <w:sz w:val="16"/>
                <w:szCs w:val="16"/>
              </w:rPr>
              <w:t xml:space="preserve">Data Quality Index du poste</w:t>
            </w:r>
          </w:p>
        </w:tc>
      </w:tr>
    </w:tbl>
    <w:p>
      <w:pPr>
        <w:pStyle w:val="Heading2"/>
        <w:spacing w:after="100" w:before="200"/>
      </w:pPr>
      <w:r>
        <w:t xml:space="preserve">3.6 Table boussole_resultats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shd w:fill="2B2B2B" w:val="clear"/>
          </w:tcPr>
          <w:p>
            <w:r>
              <w:rPr>
                <w:b/>
                <w:bCs/>
                <w:color w:val="FFFFFF"/>
                <w:sz w:val="16"/>
                <w:szCs w:val="16"/>
              </w:rPr>
              <w:t xml:space="preserve">Champ</w:t>
            </w:r>
          </w:p>
        </w:tc>
        <w:tc>
          <w:tcPr>
            <w:tcW w:type="dxa" w:w="2000"/>
            <w:shd w:fill="2B2B2B" w:val="clear"/>
          </w:tcPr>
          <w:p>
            <w:r>
              <w:rPr>
                <w:b/>
                <w:bCs/>
                <w:color w:val="FFFFFF"/>
                <w:sz w:val="16"/>
                <w:szCs w:val="16"/>
              </w:rPr>
              <w:t xml:space="preserve">Type</w:t>
            </w:r>
          </w:p>
        </w:tc>
        <w:tc>
          <w:tcPr>
            <w:tcW w:type="dxa" w:w="5000"/>
            <w:shd w:fill="2B2B2B" w:val="clear"/>
          </w:tcPr>
          <w:p>
            <w:r>
              <w:rPr>
                <w:b/>
                <w:bCs/>
                <w:color w:val="FFFFFF"/>
                <w:sz w:val="16"/>
                <w:szCs w:val="16"/>
              </w:rPr>
              <w:t xml:space="preserve">Description</w:t>
            </w:r>
          </w:p>
        </w:tc>
      </w:tr>
      <w:tr>
        <w:tc>
          <w:tcPr>
            <w:tcW w:type="dxa" w:w="2400"/>
          </w:tcPr>
          <w:p>
            <w:r>
              <w:rPr>
                <w:b w:val="false"/>
                <w:bCs w:val="false"/>
                <w:color w:val="000000"/>
                <w:sz w:val="16"/>
                <w:szCs w:val="16"/>
              </w:rPr>
              <w:t xml:space="preserve">id_boussole</w:t>
            </w:r>
          </w:p>
        </w:tc>
        <w:tc>
          <w:tcPr>
            <w:tcW w:type="dxa" w:w="2000"/>
          </w:tcPr>
          <w:p>
            <w:r>
              <w:rPr>
                <w:b w:val="false"/>
                <w:bCs w:val="false"/>
                <w:color w:val="000000"/>
                <w:sz w:val="16"/>
                <w:szCs w:val="16"/>
              </w:rPr>
              <w:t xml:space="preserve">Identifiant unique</w:t>
            </w:r>
          </w:p>
        </w:tc>
        <w:tc>
          <w:tcPr>
            <w:tcW w:type="dxa" w:w="5000"/>
          </w:tcPr>
          <w:p>
            <w:r>
              <w:rPr>
                <w:b w:val="false"/>
                <w:bCs w:val="false"/>
                <w:color w:val="000000"/>
                <w:sz w:val="16"/>
                <w:szCs w:val="16"/>
              </w:rPr>
              <w:t xml:space="preserve">Clé primaire</w:t>
            </w:r>
          </w:p>
        </w:tc>
      </w:tr>
      <w:tr>
        <w:tc>
          <w:tcPr>
            <w:tcW w:type="dxa" w:w="2400"/>
          </w:tcPr>
          <w:p>
            <w:r>
              <w:rPr>
                <w:b w:val="false"/>
                <w:bCs w:val="false"/>
                <w:color w:val="000000"/>
                <w:sz w:val="16"/>
                <w:szCs w:val="16"/>
              </w:rPr>
              <w:t xml:space="preserve">id_acteur</w:t>
            </w:r>
          </w:p>
        </w:tc>
        <w:tc>
          <w:tcPr>
            <w:tcW w:type="dxa" w:w="2000"/>
          </w:tcPr>
          <w:p>
            <w:r>
              <w:rPr>
                <w:b w:val="false"/>
                <w:bCs w:val="false"/>
                <w:color w:val="000000"/>
                <w:sz w:val="16"/>
                <w:szCs w:val="16"/>
              </w:rPr>
              <w:t xml:space="preserve">Clé étrangère</w:t>
            </w:r>
          </w:p>
        </w:tc>
        <w:tc>
          <w:tcPr>
            <w:tcW w:type="dxa" w:w="5000"/>
          </w:tcPr>
          <w:p>
            <w:r>
              <w:rPr>
                <w:b w:val="false"/>
                <w:bCs w:val="false"/>
                <w:color w:val="000000"/>
                <w:sz w:val="16"/>
                <w:szCs w:val="16"/>
              </w:rPr>
              <w:t xml:space="preserve">Référence à l'acteur</w:t>
            </w:r>
          </w:p>
        </w:tc>
      </w:tr>
      <w:tr>
        <w:tc>
          <w:tcPr>
            <w:tcW w:type="dxa" w:w="2400"/>
          </w:tcPr>
          <w:p>
            <w:r>
              <w:rPr>
                <w:b w:val="false"/>
                <w:bCs w:val="false"/>
                <w:color w:val="000000"/>
                <w:sz w:val="16"/>
                <w:szCs w:val="16"/>
              </w:rPr>
              <w:t xml:space="preserve">global_</w:t>
            </w:r>
          </w:p>
        </w:tc>
        <w:tc>
          <w:tcPr>
            <w:tcW w:type="dxa" w:w="2000"/>
          </w:tcPr>
          <w:p>
            <w:r>
              <w:rPr>
                <w:b w:val="false"/>
                <w:bCs w:val="false"/>
                <w:color w:val="000000"/>
                <w:sz w:val="16"/>
                <w:szCs w:val="16"/>
              </w:rPr>
              <w:t xml:space="preserve">Numérique (0-8)</w:t>
            </w:r>
          </w:p>
        </w:tc>
        <w:tc>
          <w:tcPr>
            <w:tcW w:type="dxa" w:w="5000"/>
          </w:tcPr>
          <w:p>
            <w:r>
              <w:rPr>
                <w:b w:val="false"/>
                <w:bCs w:val="false"/>
                <w:color w:val="000000"/>
                <w:sz w:val="16"/>
                <w:szCs w:val="16"/>
              </w:rPr>
              <w:t xml:space="preserve">Score du pôle Global</w:t>
            </w:r>
          </w:p>
        </w:tc>
      </w:tr>
      <w:tr>
        <w:tc>
          <w:tcPr>
            <w:tcW w:type="dxa" w:w="2400"/>
          </w:tcPr>
          <w:p>
            <w:r>
              <w:rPr>
                <w:b w:val="false"/>
                <w:bCs w:val="false"/>
                <w:color w:val="000000"/>
                <w:sz w:val="16"/>
                <w:szCs w:val="16"/>
              </w:rPr>
              <w:t xml:space="preserve">carboneutralite</w:t>
            </w:r>
          </w:p>
        </w:tc>
        <w:tc>
          <w:tcPr>
            <w:tcW w:type="dxa" w:w="2000"/>
          </w:tcPr>
          <w:p>
            <w:r>
              <w:rPr>
                <w:b w:val="false"/>
                <w:bCs w:val="false"/>
                <w:color w:val="000000"/>
                <w:sz w:val="16"/>
                <w:szCs w:val="16"/>
              </w:rPr>
              <w:t xml:space="preserve">Numérique (0-8)</w:t>
            </w:r>
          </w:p>
        </w:tc>
        <w:tc>
          <w:tcPr>
            <w:tcW w:type="dxa" w:w="5000"/>
          </w:tcPr>
          <w:p>
            <w:r>
              <w:rPr>
                <w:b w:val="false"/>
                <w:bCs w:val="false"/>
                <w:color w:val="000000"/>
                <w:sz w:val="16"/>
                <w:szCs w:val="16"/>
              </w:rPr>
              <w:t xml:space="preserve">Score du pôle Carboneutralité</w:t>
            </w:r>
          </w:p>
        </w:tc>
      </w:tr>
      <w:tr>
        <w:tc>
          <w:tcPr>
            <w:tcW w:type="dxa" w:w="2400"/>
          </w:tcPr>
          <w:p>
            <w:r>
              <w:rPr>
                <w:b w:val="false"/>
                <w:bCs w:val="false"/>
                <w:color w:val="000000"/>
                <w:sz w:val="16"/>
                <w:szCs w:val="16"/>
              </w:rPr>
              <w:t xml:space="preserve">technocentre</w:t>
            </w:r>
          </w:p>
        </w:tc>
        <w:tc>
          <w:tcPr>
            <w:tcW w:type="dxa" w:w="2000"/>
          </w:tcPr>
          <w:p>
            <w:r>
              <w:rPr>
                <w:b w:val="false"/>
                <w:bCs w:val="false"/>
                <w:color w:val="000000"/>
                <w:sz w:val="16"/>
                <w:szCs w:val="16"/>
              </w:rPr>
              <w:t xml:space="preserve">Numérique (0-8)</w:t>
            </w:r>
          </w:p>
        </w:tc>
        <w:tc>
          <w:tcPr>
            <w:tcW w:type="dxa" w:w="5000"/>
          </w:tcPr>
          <w:p>
            <w:r>
              <w:rPr>
                <w:b w:val="false"/>
                <w:bCs w:val="false"/>
                <w:color w:val="000000"/>
                <w:sz w:val="16"/>
                <w:szCs w:val="16"/>
              </w:rPr>
              <w:t xml:space="preserve">Score du pôle Technocentré</w:t>
            </w:r>
          </w:p>
        </w:tc>
      </w:tr>
      <w:tr>
        <w:tc>
          <w:tcPr>
            <w:tcW w:type="dxa" w:w="2400"/>
          </w:tcPr>
          <w:p>
            <w:r>
              <w:rPr>
                <w:b w:val="false"/>
                <w:bCs w:val="false"/>
                <w:color w:val="000000"/>
                <w:sz w:val="16"/>
                <w:szCs w:val="16"/>
              </w:rPr>
              <w:t xml:space="preserve">local_</w:t>
            </w:r>
          </w:p>
        </w:tc>
        <w:tc>
          <w:tcPr>
            <w:tcW w:type="dxa" w:w="2000"/>
          </w:tcPr>
          <w:p>
            <w:r>
              <w:rPr>
                <w:b w:val="false"/>
                <w:bCs w:val="false"/>
                <w:color w:val="000000"/>
                <w:sz w:val="16"/>
                <w:szCs w:val="16"/>
              </w:rPr>
              <w:t xml:space="preserve">Numérique (0-8)</w:t>
            </w:r>
          </w:p>
        </w:tc>
        <w:tc>
          <w:tcPr>
            <w:tcW w:type="dxa" w:w="5000"/>
          </w:tcPr>
          <w:p>
            <w:r>
              <w:rPr>
                <w:b w:val="false"/>
                <w:bCs w:val="false"/>
                <w:color w:val="000000"/>
                <w:sz w:val="16"/>
                <w:szCs w:val="16"/>
              </w:rPr>
              <w:t xml:space="preserve">Score du pôle Local</w:t>
            </w:r>
          </w:p>
        </w:tc>
      </w:tr>
      <w:tr>
        <w:tc>
          <w:tcPr>
            <w:tcW w:type="dxa" w:w="2400"/>
          </w:tcPr>
          <w:p>
            <w:r>
              <w:rPr>
                <w:b w:val="false"/>
                <w:bCs w:val="false"/>
                <w:color w:val="000000"/>
                <w:sz w:val="16"/>
                <w:szCs w:val="16"/>
              </w:rPr>
              <w:t xml:space="preserve">justice_sociale</w:t>
            </w:r>
          </w:p>
        </w:tc>
        <w:tc>
          <w:tcPr>
            <w:tcW w:type="dxa" w:w="2000"/>
          </w:tcPr>
          <w:p>
            <w:r>
              <w:rPr>
                <w:b w:val="false"/>
                <w:bCs w:val="false"/>
                <w:color w:val="000000"/>
                <w:sz w:val="16"/>
                <w:szCs w:val="16"/>
              </w:rPr>
              <w:t xml:space="preserve">Numérique (0-8)</w:t>
            </w:r>
          </w:p>
        </w:tc>
        <w:tc>
          <w:tcPr>
            <w:tcW w:type="dxa" w:w="5000"/>
          </w:tcPr>
          <w:p>
            <w:r>
              <w:rPr>
                <w:b w:val="false"/>
                <w:bCs w:val="false"/>
                <w:color w:val="000000"/>
                <w:sz w:val="16"/>
                <w:szCs w:val="16"/>
              </w:rPr>
              <w:t xml:space="preserve">Score du pôle Justice sociale</w:t>
            </w:r>
          </w:p>
        </w:tc>
      </w:tr>
      <w:tr>
        <w:tc>
          <w:tcPr>
            <w:tcW w:type="dxa" w:w="2400"/>
          </w:tcPr>
          <w:p>
            <w:r>
              <w:rPr>
                <w:b w:val="false"/>
                <w:bCs w:val="false"/>
                <w:color w:val="000000"/>
                <w:sz w:val="16"/>
                <w:szCs w:val="16"/>
              </w:rPr>
              <w:t xml:space="preserve">sociocentre</w:t>
            </w:r>
          </w:p>
        </w:tc>
        <w:tc>
          <w:tcPr>
            <w:tcW w:type="dxa" w:w="2000"/>
          </w:tcPr>
          <w:p>
            <w:r>
              <w:rPr>
                <w:b w:val="false"/>
                <w:bCs w:val="false"/>
                <w:color w:val="000000"/>
                <w:sz w:val="16"/>
                <w:szCs w:val="16"/>
              </w:rPr>
              <w:t xml:space="preserve">Numérique (0-8)</w:t>
            </w:r>
          </w:p>
        </w:tc>
        <w:tc>
          <w:tcPr>
            <w:tcW w:type="dxa" w:w="5000"/>
          </w:tcPr>
          <w:p>
            <w:r>
              <w:rPr>
                <w:b w:val="false"/>
                <w:bCs w:val="false"/>
                <w:color w:val="000000"/>
                <w:sz w:val="16"/>
                <w:szCs w:val="16"/>
              </w:rPr>
              <w:t xml:space="preserve">Score du pôle Sociocentré</w:t>
            </w:r>
          </w:p>
        </w:tc>
      </w:tr>
      <w:tr>
        <w:tc>
          <w:tcPr>
            <w:tcW w:type="dxa" w:w="2400"/>
          </w:tcPr>
          <w:p>
            <w:r>
              <w:rPr>
                <w:b w:val="false"/>
                <w:bCs w:val="false"/>
                <w:color w:val="000000"/>
                <w:sz w:val="16"/>
                <w:szCs w:val="16"/>
              </w:rPr>
              <w:t xml:space="preserve">date_import</w:t>
            </w:r>
          </w:p>
        </w:tc>
        <w:tc>
          <w:tcPr>
            <w:tcW w:type="dxa" w:w="2000"/>
          </w:tcPr>
          <w:p>
            <w:r>
              <w:rPr>
                <w:b w:val="false"/>
                <w:bCs w:val="false"/>
                <w:color w:val="000000"/>
                <w:sz w:val="16"/>
                <w:szCs w:val="16"/>
              </w:rPr>
              <w:t xml:space="preserve">Date</w:t>
            </w:r>
          </w:p>
        </w:tc>
        <w:tc>
          <w:tcPr>
            <w:tcW w:type="dxa" w:w="5000"/>
          </w:tcPr>
          <w:p>
            <w:r>
              <w:rPr>
                <w:b w:val="false"/>
                <w:bCs w:val="false"/>
                <w:color w:val="000000"/>
                <w:sz w:val="16"/>
                <w:szCs w:val="16"/>
              </w:rPr>
              <w:t xml:space="preserve">Date de téléversement du résultat</w:t>
            </w:r>
          </w:p>
        </w:tc>
      </w:tr>
    </w:tbl>
    <w:p>
      <w:pPr>
        <w:pStyle w:val="Heading2"/>
        <w:spacing w:after="100" w:before="200"/>
      </w:pPr>
      <w:r>
        <w:t xml:space="preserve">3.7 Tables actions_plan et couverture_plan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600"/>
      </w:tblGrid>
      <w:tr>
        <w:tc>
          <w:tcPr>
            <w:tcW w:type="dxa" w:w="2800"/>
            <w:shd w:fill="2B2B2B" w:val="clear"/>
          </w:tcPr>
          <w:p>
            <w:r>
              <w:rPr>
                <w:b/>
                <w:bCs/>
                <w:color w:val="FFFFFF"/>
                <w:sz w:val="16"/>
                <w:szCs w:val="16"/>
              </w:rPr>
              <w:t xml:space="preserve">Champ</w:t>
            </w:r>
          </w:p>
        </w:tc>
        <w:tc>
          <w:tcPr>
            <w:tcW w:type="dxa" w:w="2000"/>
            <w:shd w:fill="2B2B2B" w:val="clear"/>
          </w:tcPr>
          <w:p>
            <w:r>
              <w:rPr>
                <w:b/>
                <w:bCs/>
                <w:color w:val="FFFFFF"/>
                <w:sz w:val="16"/>
                <w:szCs w:val="16"/>
              </w:rPr>
              <w:t xml:space="preserve">Type</w:t>
            </w:r>
          </w:p>
        </w:tc>
        <w:tc>
          <w:tcPr>
            <w:tcW w:type="dxa" w:w="4600"/>
            <w:shd w:fill="2B2B2B" w:val="clear"/>
          </w:tcPr>
          <w:p>
            <w:r>
              <w:rPr>
                <w:b/>
                <w:bCs/>
                <w:color w:val="FFFFFF"/>
                <w:sz w:val="16"/>
                <w:szCs w:val="16"/>
              </w:rPr>
              <w:t xml:space="preserve">Description</w:t>
            </w:r>
          </w:p>
        </w:tc>
      </w:tr>
      <w:tr>
        <w:tc>
          <w:tcPr>
            <w:tcW w:type="dxa" w:w="2800"/>
          </w:tcPr>
          <w:p>
            <w:r>
              <w:rPr>
                <w:b w:val="false"/>
                <w:bCs w:val="false"/>
                <w:color w:val="000000"/>
                <w:sz w:val="16"/>
                <w:szCs w:val="16"/>
              </w:rPr>
              <w:t xml:space="preserve">no_action</w:t>
            </w:r>
          </w:p>
        </w:tc>
        <w:tc>
          <w:tcPr>
            <w:tcW w:type="dxa" w:w="2000"/>
          </w:tcPr>
          <w:p>
            <w:r>
              <w:rPr>
                <w:b w:val="false"/>
                <w:bCs w:val="false"/>
                <w:color w:val="000000"/>
                <w:sz w:val="16"/>
                <w:szCs w:val="16"/>
              </w:rPr>
              <w:t xml:space="preserve">Texte</w:t>
            </w:r>
          </w:p>
        </w:tc>
        <w:tc>
          <w:tcPr>
            <w:tcW w:type="dxa" w:w="4600"/>
          </w:tcPr>
          <w:p>
            <w:r>
              <w:rPr>
                <w:b w:val="false"/>
                <w:bCs w:val="false"/>
                <w:color w:val="000000"/>
                <w:sz w:val="16"/>
                <w:szCs w:val="16"/>
              </w:rPr>
              <w:t xml:space="preserve">Identifiant (ex. G1, N3, H10, E5 — voir Plan d'action climatique du territoire)</w:t>
            </w:r>
          </w:p>
        </w:tc>
      </w:tr>
      <w:tr>
        <w:tc>
          <w:tcPr>
            <w:tcW w:type="dxa" w:w="2800"/>
          </w:tcPr>
          <w:p>
            <w:r>
              <w:rPr>
                <w:b w:val="false"/>
                <w:bCs w:val="false"/>
                <w:color w:val="000000"/>
                <w:sz w:val="16"/>
                <w:szCs w:val="16"/>
              </w:rPr>
              <w:t xml:space="preserve">categorie</w:t>
            </w:r>
          </w:p>
        </w:tc>
        <w:tc>
          <w:tcPr>
            <w:tcW w:type="dxa" w:w="2000"/>
          </w:tcPr>
          <w:p>
            <w:r>
              <w:rPr>
                <w:b w:val="false"/>
                <w:bCs w:val="false"/>
                <w:color w:val="000000"/>
                <w:sz w:val="16"/>
                <w:szCs w:val="16"/>
              </w:rPr>
              <w:t xml:space="preserve">Enum</w:t>
            </w:r>
          </w:p>
        </w:tc>
        <w:tc>
          <w:tcPr>
            <w:tcW w:type="dxa" w:w="4600"/>
          </w:tcPr>
          <w:p>
            <w:r>
              <w:rPr>
                <w:b w:val="false"/>
                <w:bCs w:val="false"/>
                <w:color w:val="000000"/>
                <w:sz w:val="16"/>
                <w:szCs w:val="16"/>
              </w:rPr>
              <w:t xml:space="preserve">Gouvernance / Environnement-Eau / Santé-Communautés / Économie-Agriculture</w:t>
            </w:r>
          </w:p>
        </w:tc>
      </w:tr>
      <w:tr>
        <w:tc>
          <w:tcPr>
            <w:tcW w:type="dxa" w:w="2800"/>
          </w:tcPr>
          <w:p>
            <w:r>
              <w:rPr>
                <w:b w:val="false"/>
                <w:bCs w:val="false"/>
                <w:color w:val="000000"/>
                <w:sz w:val="16"/>
                <w:szCs w:val="16"/>
              </w:rPr>
              <w:t xml:space="preserve">priorite</w:t>
            </w:r>
          </w:p>
        </w:tc>
        <w:tc>
          <w:tcPr>
            <w:tcW w:type="dxa" w:w="2000"/>
          </w:tcPr>
          <w:p>
            <w:r>
              <w:rPr>
                <w:b w:val="false"/>
                <w:bCs w:val="false"/>
                <w:color w:val="000000"/>
                <w:sz w:val="16"/>
                <w:szCs w:val="16"/>
              </w:rPr>
              <w:t xml:space="preserve">Enum</w:t>
            </w:r>
          </w:p>
        </w:tc>
        <w:tc>
          <w:tcPr>
            <w:tcW w:type="dxa" w:w="4600"/>
          </w:tcPr>
          <w:p>
            <w:r>
              <w:rPr>
                <w:b w:val="false"/>
                <w:bCs w:val="false"/>
                <w:color w:val="000000"/>
                <w:sz w:val="16"/>
                <w:szCs w:val="16"/>
              </w:rPr>
              <w:t xml:space="preserve">TP-I / TP / P / M</w:t>
            </w:r>
          </w:p>
        </w:tc>
      </w:tr>
      <w:tr>
        <w:tc>
          <w:tcPr>
            <w:tcW w:type="dxa" w:w="2800"/>
          </w:tcPr>
          <w:p>
            <w:r>
              <w:rPr>
                <w:b w:val="false"/>
                <w:bCs w:val="false"/>
                <w:color w:val="000000"/>
                <w:sz w:val="16"/>
                <w:szCs w:val="16"/>
              </w:rPr>
              <w:t xml:space="preserve">parties_prenantes</w:t>
            </w:r>
          </w:p>
        </w:tc>
        <w:tc>
          <w:tcPr>
            <w:tcW w:type="dxa" w:w="2000"/>
          </w:tcPr>
          <w:p>
            <w:r>
              <w:rPr>
                <w:b w:val="false"/>
                <w:bCs w:val="false"/>
                <w:color w:val="000000"/>
                <w:sz w:val="16"/>
                <w:szCs w:val="16"/>
              </w:rPr>
              <w:t xml:space="preserve">Texte</w:t>
            </w:r>
          </w:p>
        </w:tc>
        <w:tc>
          <w:tcPr>
            <w:tcW w:type="dxa" w:w="4600"/>
          </w:tcPr>
          <w:p>
            <w:r>
              <w:rPr>
                <w:b w:val="false"/>
                <w:bCs w:val="false"/>
                <w:color w:val="000000"/>
                <w:sz w:val="16"/>
                <w:szCs w:val="16"/>
              </w:rPr>
              <w:t xml:space="preserve">Collaborateurs potentiels déjà identifiés dans le plan</w:t>
            </w:r>
          </w:p>
        </w:tc>
      </w:tr>
      <w:tr>
        <w:tc>
          <w:tcPr>
            <w:tcW w:type="dxa" w:w="2800"/>
          </w:tcPr>
          <w:p>
            <w:r>
              <w:rPr>
                <w:b w:val="false"/>
                <w:bCs w:val="false"/>
                <w:color w:val="000000"/>
                <w:sz w:val="16"/>
                <w:szCs w:val="16"/>
              </w:rPr>
              <w:t xml:space="preserve">id_acteur (dans couverture_plan)</w:t>
            </w:r>
          </w:p>
        </w:tc>
        <w:tc>
          <w:tcPr>
            <w:tcW w:type="dxa" w:w="2000"/>
          </w:tcPr>
          <w:p>
            <w:r>
              <w:rPr>
                <w:b w:val="false"/>
                <w:bCs w:val="false"/>
                <w:color w:val="000000"/>
                <w:sz w:val="16"/>
                <w:szCs w:val="16"/>
              </w:rPr>
              <w:t xml:space="preserve">Clé étrangère</w:t>
            </w:r>
          </w:p>
        </w:tc>
        <w:tc>
          <w:tcPr>
            <w:tcW w:type="dxa" w:w="4600"/>
          </w:tcPr>
          <w:p>
            <w:r>
              <w:rPr>
                <w:b w:val="false"/>
                <w:bCs w:val="false"/>
                <w:color w:val="000000"/>
                <w:sz w:val="16"/>
                <w:szCs w:val="16"/>
              </w:rPr>
              <w:t xml:space="preserve">Acteur concerné</w:t>
            </w:r>
          </w:p>
        </w:tc>
      </w:tr>
      <w:tr>
        <w:tc>
          <w:tcPr>
            <w:tcW w:type="dxa" w:w="2800"/>
          </w:tcPr>
          <w:p>
            <w:r>
              <w:rPr>
                <w:b w:val="false"/>
                <w:bCs w:val="false"/>
                <w:color w:val="000000"/>
                <w:sz w:val="16"/>
                <w:szCs w:val="16"/>
              </w:rPr>
              <w:t xml:space="preserve">statut_couverture</w:t>
            </w:r>
          </w:p>
        </w:tc>
        <w:tc>
          <w:tcPr>
            <w:tcW w:type="dxa" w:w="2000"/>
          </w:tcPr>
          <w:p>
            <w:r>
              <w:rPr>
                <w:b w:val="false"/>
                <w:bCs w:val="false"/>
                <w:color w:val="000000"/>
                <w:sz w:val="16"/>
                <w:szCs w:val="16"/>
              </w:rPr>
              <w:t xml:space="preserve">Enum</w:t>
            </w:r>
          </w:p>
        </w:tc>
        <w:tc>
          <w:tcPr>
            <w:tcW w:type="dxa" w:w="4600"/>
          </w:tcPr>
          <w:p>
            <w:r>
              <w:rPr>
                <w:b w:val="false"/>
                <w:bCs w:val="false"/>
                <w:color w:val="000000"/>
                <w:sz w:val="16"/>
                <w:szCs w:val="16"/>
              </w:rPr>
              <w:t xml:space="preserve">Couverte / Recommandée / Ignorée</w:t>
            </w:r>
          </w:p>
        </w:tc>
      </w:tr>
    </w:tbl>
    <w:p>
      <w:r>
        <w:br w:type="page"/>
      </w:r>
    </w:p>
    <w:p>
      <w:pPr>
        <w:pStyle w:val="Heading1"/>
        <w:spacing w:after="140" w:before="280"/>
      </w:pPr>
      <w:r>
        <w:t xml:space="preserve">4. Calculs à effectuer</w:t>
      </w:r>
    </w:p>
    <w:p>
      <w:pPr>
        <w:pStyle w:val="Heading2"/>
        <w:spacing w:after="100" w:before="200"/>
      </w:pPr>
      <w:r>
        <w:t xml:space="preserve">4.1 Bilan brut, séquestration et réductions</w:t>
      </w:r>
    </w:p>
    <w:p>
      <w:pPr>
        <w:spacing w:after="140"/>
        <w:jc w:val="both"/>
      </w:pPr>
      <w:r>
        <w:rPr>
          <w:sz w:val="21"/>
          <w:szCs w:val="21"/>
        </w:rPr>
        <w:t xml:space="preserve">Pour chaque bilan, le moteur applique les formules détaillées par secteur du document Framework (section « Base de calcul ») afin de produire, poste par poste : E_sources (émissions brutes), S_séquestration et R_réductions. Ces trois valeurs sont stockées séparément dans resultats_calcules et ne sont jamais fusionnées en base de données : le calcul de E_net = E_sources − S_séquestration − R_réductions est effectué à l'affichage seulement, jamais stocké comme valeur unique remplaçant les composantes brutes.</w:t>
      </w:r>
    </w:p>
    <w:p>
      <w:pPr>
        <w:pStyle w:val="Heading2"/>
        <w:spacing w:after="100" w:before="200"/>
      </w:pPr>
      <w:r>
        <w:t xml:space="preserve">4.2 Data Quality Index (DQI)</w:t>
      </w:r>
    </w:p>
    <w:p>
      <w:pPr>
        <w:spacing w:after="140"/>
        <w:jc w:val="both"/>
      </w:pPr>
      <w:r>
        <w:rPr>
          <w:sz w:val="21"/>
          <w:szCs w:val="21"/>
        </w:rPr>
        <w:t xml:space="preserve">Un DQI de 0 à 1 est calculé pour chaque poste à partir de la qualité déclarée des réponses sous-jacentes (Mesurée = 1, Facturée = 0,7, Estimée = 0,4, à titre de barème indicatif ajustable). Le DQI global d'un bilan est la moyenne pondérée des DQI par poste, pondérée par le poids relatif de chaque poste dans le bilan brut total.</w:t>
      </w:r>
    </w:p>
    <w:p>
      <w:pPr>
        <w:pStyle w:val="Heading2"/>
        <w:spacing w:after="100" w:before="200"/>
      </w:pPr>
      <w:r>
        <w:t xml:space="preserve">4.3 Normalisations</w:t>
      </w:r>
    </w:p>
    <w:p>
      <w:pPr>
        <w:spacing w:after="140"/>
        <w:jc w:val="both"/>
      </w:pPr>
      <w:r>
        <w:rPr>
          <w:sz w:val="21"/>
          <w:szCs w:val="21"/>
        </w:rPr>
        <w:t xml:space="preserve">Selon le secteur, le moteur calcule des indicateurs normalisés déjà définis dans le Framework (ex. E/élève, E/employé, E/m², E/repas, E/hectare, E/personne du ménage), pour permettre les comparaisons entre acteurs de tailles différentes.</w:t>
      </w:r>
    </w:p>
    <w:p>
      <w:pPr>
        <w:pStyle w:val="Heading2"/>
        <w:spacing w:after="100" w:before="200"/>
      </w:pPr>
      <w:r>
        <w:t xml:space="preserve">4.4 Agrégation régionale</w:t>
      </w:r>
    </w:p>
    <w:p>
      <w:pPr>
        <w:spacing w:after="140"/>
        <w:jc w:val="both"/>
      </w:pPr>
      <w:r>
        <w:rPr>
          <w:sz w:val="21"/>
          <w:szCs w:val="21"/>
        </w:rPr>
        <w:t xml:space="preserve">L'agrégation régionale (tableau de bord CDC) applique la règle de délimitation par contrôle opérationnel (norme ISO 14064-1, voir Framework, Principes méthodologiques transversaux) avant de sommer les bilans individuels, afin d'éviter le double comptage entre acteurs liés (ex. employé et employeur, donateur et organisme d'aide alimentaire).</w:t>
      </w:r>
    </w:p>
    <w:p>
      <w:pPr>
        <w:pStyle w:val="Heading2"/>
        <w:spacing w:after="100" w:before="200"/>
      </w:pPr>
      <w:r>
        <w:t xml:space="preserve">4.5 Couverture du plan d'action</w:t>
      </w:r>
    </w:p>
    <w:p>
      <w:pPr>
        <w:spacing w:after="140"/>
        <w:jc w:val="both"/>
      </w:pPr>
      <w:r>
        <w:rPr>
          <w:sz w:val="21"/>
          <w:szCs w:val="21"/>
        </w:rPr>
        <w:t xml:space="preserve">Pour chaque acteur : taux de couverture = nombre d'actions au statut « Couverte » ÷ nombre total d'actions pertinentes à son secteur, calculé globalement et par catégorie/priorité. Le moteur de recommandation sélectionne, parmi les actions non couvertes de priorité TP-I ou TP correspondant au secteur et au profil de l'acteur, celles à afficher comme recommandations (voir Cahier des charges, module 4.5).</w:t>
      </w:r>
    </w:p>
    <w:p>
      <w:pPr>
        <w:pStyle w:val="Heading1"/>
        <w:spacing w:after="140" w:before="280"/>
      </w:pPr>
      <w:r>
        <w:t xml:space="preserve">5. Analyses attendues</w:t>
      </w:r>
    </w:p>
    <w:p>
      <w:pPr>
        <w:pStyle w:val="ListParagraph"/>
        <w:numPr>
          <w:ilvl w:val="0"/>
          <w:numId w:val="1"/>
        </w:numPr>
        <w:spacing w:after="80"/>
      </w:pPr>
      <w:r>
        <w:rPr>
          <w:sz w:val="21"/>
          <w:szCs w:val="21"/>
        </w:rPr>
        <w:t xml:space="preserve">Bilan individuel : synthèse brute + actions positives, comparée à la moyenne régionale et sectorielle.</w:t>
      </w:r>
    </w:p>
    <w:p>
      <w:pPr>
        <w:pStyle w:val="ListParagraph"/>
        <w:numPr>
          <w:ilvl w:val="0"/>
          <w:numId w:val="1"/>
        </w:numPr>
        <w:spacing w:after="80"/>
      </w:pPr>
      <w:r>
        <w:rPr>
          <w:sz w:val="21"/>
          <w:szCs w:val="21"/>
        </w:rPr>
        <w:t xml:space="preserve">Suivi temporel : évolution du bilan d'un acteur d'une année à l'autre, avec alerte si les facteurs d'émission ont changé entre les deux mesures (voir Cahier des charges 4.7).</w:t>
      </w:r>
    </w:p>
    <w:p>
      <w:pPr>
        <w:pStyle w:val="ListParagraph"/>
        <w:numPr>
          <w:ilvl w:val="0"/>
          <w:numId w:val="1"/>
        </w:numPr>
        <w:spacing w:after="80"/>
      </w:pPr>
      <w:r>
        <w:rPr>
          <w:sz w:val="21"/>
          <w:szCs w:val="21"/>
        </w:rPr>
        <w:t xml:space="preserve">Priorisation régionale (logique Critical Path / matrice BCG) : croisement du DQI, du taux de couverture du plan et du bilan brut pour identifier les acteurs à soutenir en priorité.</w:t>
      </w:r>
    </w:p>
    <w:p>
      <w:pPr>
        <w:pStyle w:val="ListParagraph"/>
        <w:numPr>
          <w:ilvl w:val="0"/>
          <w:numId w:val="1"/>
        </w:numPr>
        <w:spacing w:after="80"/>
      </w:pPr>
      <w:r>
        <w:rPr>
          <w:sz w:val="21"/>
          <w:szCs w:val="21"/>
        </w:rPr>
        <w:t xml:space="preserve">Portrait collectif régional : bilan agrégé, répartition sectorielle, taux de couverture global du plan d'action, évolution annuelle.</w:t>
      </w:r>
    </w:p>
    <w:p>
      <w:pPr>
        <w:pStyle w:val="ListParagraph"/>
        <w:numPr>
          <w:ilvl w:val="0"/>
          <w:numId w:val="1"/>
        </w:numPr>
        <w:spacing w:after="80"/>
      </w:pPr>
      <w:r>
        <w:rPr>
          <w:sz w:val="21"/>
          <w:szCs w:val="21"/>
        </w:rPr>
        <w:t xml:space="preserve">Recoupement avec la Boussole : position individuelle vs collective sur les six pôles, mise en parallèle avec le bilan GES et la couverture du plan.</w:t>
      </w:r>
    </w:p>
    <w:p>
      <w:r>
        <w:br w:type="page"/>
      </w:r>
    </w:p>
    <w:p>
      <w:pPr>
        <w:pStyle w:val="Heading1"/>
        <w:spacing w:after="140" w:before="280"/>
      </w:pPr>
      <w:r>
        <w:t xml:space="preserve">6. Vérification de conformité aux standards reconnus</w:t>
      </w:r>
    </w:p>
    <w:p>
      <w:pPr>
        <w:spacing w:after="140"/>
        <w:jc w:val="both"/>
      </w:pPr>
      <w:r>
        <w:rPr>
          <w:sz w:val="21"/>
          <w:szCs w:val="21"/>
        </w:rPr>
        <w:t xml:space="preserve">Le tableau suivant fait correspondre chaque exigence des standards de comptabilité carbone retenus pour ce projet (voir Framework, Références bibliographiques) à l'élément du modèle de données qui y répond, afin de vérifier que la collecte prévue est suffisante.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c>
          <w:tcPr>
            <w:tcW w:type="dxa" w:w="3000"/>
            <w:shd w:fill="2B2B2B" w:val="clear"/>
          </w:tcPr>
          <w:p>
            <w:r>
              <w:rPr>
                <w:b/>
                <w:bCs/>
                <w:color w:val="FFFFFF"/>
                <w:sz w:val="16"/>
                <w:szCs w:val="16"/>
              </w:rPr>
              <w:t xml:space="preserve">Exigence du standard</w:t>
            </w:r>
          </w:p>
        </w:tc>
        <w:tc>
          <w:tcPr>
            <w:tcW w:type="dxa" w:w="2400"/>
            <w:shd w:fill="2B2B2B" w:val="clear"/>
          </w:tcPr>
          <w:p>
            <w:r>
              <w:rPr>
                <w:b/>
                <w:bCs/>
                <w:color w:val="FFFFFF"/>
                <w:sz w:val="16"/>
                <w:szCs w:val="16"/>
              </w:rPr>
              <w:t xml:space="preserve">Norme / guide</w:t>
            </w:r>
          </w:p>
        </w:tc>
        <w:tc>
          <w:tcPr>
            <w:tcW w:type="dxa" w:w="4000"/>
            <w:shd w:fill="2B2B2B" w:val="clear"/>
          </w:tcPr>
          <w:p>
            <w:r>
              <w:rPr>
                <w:b/>
                <w:bCs/>
                <w:color w:val="FFFFFF"/>
                <w:sz w:val="16"/>
                <w:szCs w:val="16"/>
              </w:rPr>
              <w:t xml:space="preserve">Élément du modèle de données</w:t>
            </w:r>
          </w:p>
        </w:tc>
      </w:tr>
      <w:tr>
        <w:tc>
          <w:tcPr>
            <w:tcW w:type="dxa" w:w="3000"/>
          </w:tcPr>
          <w:p>
            <w:r>
              <w:rPr>
                <w:b w:val="false"/>
                <w:bCs w:val="false"/>
                <w:color w:val="000000"/>
                <w:sz w:val="16"/>
                <w:szCs w:val="16"/>
              </w:rPr>
              <w:t xml:space="preserve">Délimitation organisationnelle claire (contrôle opérationnel)</w:t>
            </w:r>
          </w:p>
        </w:tc>
        <w:tc>
          <w:tcPr>
            <w:tcW w:type="dxa" w:w="2400"/>
          </w:tcPr>
          <w:p>
            <w:r>
              <w:rPr>
                <w:b w:val="false"/>
                <w:bCs w:val="false"/>
                <w:color w:val="000000"/>
                <w:sz w:val="16"/>
                <w:szCs w:val="16"/>
              </w:rPr>
              <w:t xml:space="preserve">ISO 14064-1</w:t>
            </w:r>
          </w:p>
        </w:tc>
        <w:tc>
          <w:tcPr>
            <w:tcW w:type="dxa" w:w="4000"/>
          </w:tcPr>
          <w:p>
            <w:r>
              <w:rPr>
                <w:b w:val="false"/>
                <w:bCs w:val="false"/>
                <w:color w:val="000000"/>
                <w:sz w:val="16"/>
                <w:szCs w:val="16"/>
              </w:rPr>
              <w:t xml:space="preserve">type_acteur, statut, règle de délimitation appliquée en 4.4</w:t>
            </w:r>
          </w:p>
        </w:tc>
      </w:tr>
      <w:tr>
        <w:tc>
          <w:tcPr>
            <w:tcW w:type="dxa" w:w="3000"/>
          </w:tcPr>
          <w:p>
            <w:r>
              <w:rPr>
                <w:b w:val="false"/>
                <w:bCs w:val="false"/>
                <w:color w:val="000000"/>
                <w:sz w:val="16"/>
                <w:szCs w:val="16"/>
              </w:rPr>
              <w:t xml:space="preserve">Facteurs d'émission documentés (source, année)</w:t>
            </w:r>
          </w:p>
        </w:tc>
        <w:tc>
          <w:tcPr>
            <w:tcW w:type="dxa" w:w="2400"/>
          </w:tcPr>
          <w:p>
            <w:r>
              <w:rPr>
                <w:b w:val="false"/>
                <w:bCs w:val="false"/>
                <w:color w:val="000000"/>
                <w:sz w:val="16"/>
                <w:szCs w:val="16"/>
              </w:rPr>
              <w:t xml:space="preserve">MELCCFP, GHG Protocol</w:t>
            </w:r>
          </w:p>
        </w:tc>
        <w:tc>
          <w:tcPr>
            <w:tcW w:type="dxa" w:w="4000"/>
          </w:tcPr>
          <w:p>
            <w:r>
              <w:rPr>
                <w:b w:val="false"/>
                <w:bCs w:val="false"/>
                <w:color w:val="000000"/>
                <w:sz w:val="16"/>
                <w:szCs w:val="16"/>
              </w:rPr>
              <w:t xml:space="preserve">Table facteurs_emission (source, annee_publication)</w:t>
            </w:r>
          </w:p>
        </w:tc>
      </w:tr>
      <w:tr>
        <w:tc>
          <w:tcPr>
            <w:tcW w:type="dxa" w:w="3000"/>
          </w:tcPr>
          <w:p>
            <w:r>
              <w:rPr>
                <w:b w:val="false"/>
                <w:bCs w:val="false"/>
                <w:color w:val="000000"/>
                <w:sz w:val="16"/>
                <w:szCs w:val="16"/>
              </w:rPr>
              <w:t xml:space="preserve">Qualité des données déclarée</w:t>
            </w:r>
          </w:p>
        </w:tc>
        <w:tc>
          <w:tcPr>
            <w:tcW w:type="dxa" w:w="2400"/>
          </w:tcPr>
          <w:p>
            <w:r>
              <w:rPr>
                <w:b w:val="false"/>
                <w:bCs w:val="false"/>
                <w:color w:val="000000"/>
                <w:sz w:val="16"/>
                <w:szCs w:val="16"/>
              </w:rPr>
              <w:t xml:space="preserve">ISO 14064-1</w:t>
            </w:r>
          </w:p>
        </w:tc>
        <w:tc>
          <w:tcPr>
            <w:tcW w:type="dxa" w:w="4000"/>
          </w:tcPr>
          <w:p>
            <w:r>
              <w:rPr>
                <w:b w:val="false"/>
                <w:bCs w:val="false"/>
                <w:color w:val="000000"/>
                <w:sz w:val="16"/>
                <w:szCs w:val="16"/>
              </w:rPr>
              <w:t xml:space="preserve">Champ qualite_donnee dans reponses_donnees, DQI calculé en 4.2</w:t>
            </w:r>
          </w:p>
        </w:tc>
      </w:tr>
      <w:tr>
        <w:tc>
          <w:tcPr>
            <w:tcW w:type="dxa" w:w="3000"/>
          </w:tcPr>
          <w:p>
            <w:r>
              <w:rPr>
                <w:b w:val="false"/>
                <w:bCs w:val="false"/>
                <w:color w:val="000000"/>
                <w:sz w:val="16"/>
                <w:szCs w:val="16"/>
              </w:rPr>
              <w:t xml:space="preserve">Séparation des émissions et des réductions/compensations</w:t>
            </w:r>
          </w:p>
        </w:tc>
        <w:tc>
          <w:tcPr>
            <w:tcW w:type="dxa" w:w="2400"/>
          </w:tcPr>
          <w:p>
            <w:r>
              <w:rPr>
                <w:b w:val="false"/>
                <w:bCs w:val="false"/>
                <w:color w:val="000000"/>
                <w:sz w:val="16"/>
                <w:szCs w:val="16"/>
              </w:rPr>
              <w:t xml:space="preserve">Directives MELCCFP sur la quantification des réductions</w:t>
            </w:r>
          </w:p>
        </w:tc>
        <w:tc>
          <w:tcPr>
            <w:tcW w:type="dxa" w:w="4000"/>
          </w:tcPr>
          <w:p>
            <w:r>
              <w:rPr>
                <w:b w:val="false"/>
                <w:bCs w:val="false"/>
                <w:color w:val="000000"/>
                <w:sz w:val="16"/>
                <w:szCs w:val="16"/>
              </w:rPr>
              <w:t xml:space="preserve">type_valeur (Brut / Séquestration / Réduction) dans resultats_calcules, jamais fusionné</w:t>
            </w:r>
          </w:p>
        </w:tc>
      </w:tr>
      <w:tr>
        <w:tc>
          <w:tcPr>
            <w:tcW w:type="dxa" w:w="3000"/>
          </w:tcPr>
          <w:p>
            <w:r>
              <w:rPr>
                <w:b w:val="false"/>
                <w:bCs w:val="false"/>
                <w:color w:val="000000"/>
                <w:sz w:val="16"/>
                <w:szCs w:val="16"/>
              </w:rPr>
              <w:t xml:space="preserve">Traçabilité méthodologique dans le temps</w:t>
            </w:r>
          </w:p>
        </w:tc>
        <w:tc>
          <w:tcPr>
            <w:tcW w:type="dxa" w:w="2400"/>
          </w:tcPr>
          <w:p>
            <w:r>
              <w:rPr>
                <w:b w:val="false"/>
                <w:bCs w:val="false"/>
                <w:color w:val="000000"/>
                <w:sz w:val="16"/>
                <w:szCs w:val="16"/>
              </w:rPr>
              <w:t xml:space="preserve">ISO 14064-1</w:t>
            </w:r>
          </w:p>
        </w:tc>
        <w:tc>
          <w:tcPr>
            <w:tcW w:type="dxa" w:w="4000"/>
          </w:tcPr>
          <w:p>
            <w:r>
              <w:rPr>
                <w:b w:val="false"/>
                <w:bCs w:val="false"/>
                <w:color w:val="000000"/>
                <w:sz w:val="16"/>
                <w:szCs w:val="16"/>
              </w:rPr>
              <w:t xml:space="preserve">Champ version_facteurs_emission dans bilans</w:t>
            </w:r>
          </w:p>
        </w:tc>
      </w:tr>
      <w:tr>
        <w:tc>
          <w:tcPr>
            <w:tcW w:type="dxa" w:w="3000"/>
          </w:tcPr>
          <w:p>
            <w:r>
              <w:rPr>
                <w:b w:val="false"/>
                <w:bCs w:val="false"/>
                <w:color w:val="000000"/>
                <w:sz w:val="16"/>
                <w:szCs w:val="16"/>
              </w:rPr>
              <w:t xml:space="preserve">Compétence de la personne responsable de la quantification (niveaux avancés)</w:t>
            </w:r>
          </w:p>
        </w:tc>
        <w:tc>
          <w:tcPr>
            <w:tcW w:type="dxa" w:w="2400"/>
          </w:tcPr>
          <w:p>
            <w:r>
              <w:rPr>
                <w:b w:val="false"/>
                <w:bCs w:val="false"/>
                <w:color w:val="000000"/>
                <w:sz w:val="16"/>
                <w:szCs w:val="16"/>
              </w:rPr>
              <w:t xml:space="preserve">Directives MELCCFP</w:t>
            </w:r>
          </w:p>
        </w:tc>
        <w:tc>
          <w:tcPr>
            <w:tcW w:type="dxa" w:w="4000"/>
          </w:tcPr>
          <w:p>
            <w:r>
              <w:rPr>
                <w:b w:val="false"/>
                <w:bCs w:val="false"/>
                <w:color w:val="000000"/>
                <w:sz w:val="16"/>
                <w:szCs w:val="16"/>
              </w:rPr>
              <w:t xml:space="preserve">statut_validation dans bilans (validation CDC pour le niveau 3)</w:t>
            </w:r>
          </w:p>
        </w:tc>
      </w:tr>
    </w:tbl>
    <w:p>
      <w:pPr>
        <w:pStyle w:val="Heading1"/>
        <w:spacing w:after="140" w:before="280"/>
      </w:pPr>
      <w:r>
        <w:t xml:space="preserve">7. Justification de la structure retenue</w:t>
      </w:r>
    </w:p>
    <w:p>
      <w:pPr>
        <w:spacing w:after="140"/>
        <w:jc w:val="both"/>
      </w:pPr>
      <w:r>
        <w:rPr>
          <w:sz w:val="21"/>
          <w:szCs w:val="21"/>
        </w:rPr>
        <w:t xml:space="preserve">Cette structure de données répond à un enjeu de crédibilité qui dépasse la simple faisabilité technique. Un outil de bilan environnemental destiné à être présenté à des bailleurs, à des partenaires institutionnels et à l'ensemble des acteurs d'un territoire doit pouvoir démontrer, à tout moment, non seulement un résultat, mais la façon dont ce résultat a été obtenu. C'est pourquoi chaque donnée saisie conserve sa qualité déclarée (mesurée, facturée ou estimée), chaque facteur d'émission conserve sa source et son année de publication, chaque bilan conserve la version méthodologique utilisée au moment de son calcul, et les émissions brutes ne sont jamais fusionnées avec les réductions revendiquées. Cette rigueur, qui peut sembler exigeante pour un outil territorial de cette taille, est précisément ce qui distingue un instrument de gouvernance crédible d'un simple calculateur grand public : elle permet de résister à un examen externe, de comparer les bilans d'une année à l'autre sans biais méthodologique caché, et de protéger autant les acteurs qui l'utilisent que la CDC de L'Érable qui le porte contre tout doute quant à l'exactitude ou à la bonne foi des chiffres avancés. La structure proposée n'ajoute donc pas de complexité superflue : elle inscrit dans la base de données elle-même les garanties méthodologiques déjà établies dans le document Framework, plutôt que de les laisser reposer uniquement sur la bonne volonté des personnes qui utiliseront l'outil au fil des années.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2026-07-21T00:50:38.222Z</dcterms:created>
  <dcterms:modified xsi:type="dcterms:W3CDTF">2026-07-21T00:50:38.236Z</dcterms:modified>
</cp:coreProperties>
</file>

<file path=docProps/custom.xml><?xml version="1.0" encoding="utf-8"?>
<Properties xmlns="http://schemas.openxmlformats.org/officeDocument/2006/custom-properties" xmlns:vt="http://schemas.openxmlformats.org/officeDocument/2006/docPropsVTypes"/>
</file>