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6215C"/>
          <w:sz w:val="40"/>
          <w:szCs w:val="40"/>
        </w:rPr>
        <w:t xml:space="preserve">Charte d'engagement</w:t>
      </w:r>
    </w:p>
    <w:p>
      <w:pPr>
        <w:spacing w:after="300"/>
        <w:jc w:val="center"/>
      </w:pPr>
      <w:r>
        <w:rPr>
          <w:color w:val="5F5E5A"/>
          <w:sz w:val="22"/>
          <w:szCs w:val="22"/>
        </w:rPr>
        <w:t xml:space="preserve">Transition socioclimatique de la MRC de L'Érable</w:t>
      </w:r>
    </w:p>
    <w:p>
      <w:pPr>
        <w:spacing w:after="260" w:before="100"/>
        <w:jc w:val="center"/>
      </w:pPr>
      <w:r>
        <w:rPr>
          <w:i/>
          <w:iCs/>
          <w:color w:val="0F6E56"/>
          <w:sz w:val="24"/>
          <w:szCs w:val="24"/>
        </w:rPr>
        <w:t xml:space="preserve">« Une transition qui n'a de sens que si elle protège d'abord celles et ceux qui sont les plus vulnérables aux crises climatiques et économiques. »</w:t>
      </w:r>
    </w:p>
    <w:p>
      <w:pPr>
        <w:pStyle w:val="Heading1"/>
        <w:spacing w:after="130" w:before="260"/>
      </w:pPr>
      <w:r>
        <w:t xml:space="preserve">Préambule</w:t>
      </w:r>
    </w:p>
    <w:p>
      <w:pPr>
        <w:spacing w:after="150"/>
        <w:jc w:val="both"/>
      </w:pPr>
      <w:r>
        <w:rPr>
          <w:sz w:val="22"/>
          <w:szCs w:val="22"/>
        </w:rPr>
        <w:t xml:space="preserve">Cette charte est l'aboutissement d'une démarche participative menée sur le territoire de la MRC de L'Érable et du Centre-du-Québec : des rencontres individuelles avec les parties prenantes, un atelier de cartographie des vulnérabilités climatiques, l'exercice collectif de la Boussole de la transition, la priorisation des enjeux et des actions, et l'élaboration d'un plan d'action climatique regroupant 41 actions concrètes. Elle ne remplace aucun de ces travaux : elle en formalise l'esprit, sous la forme d'un engagement partagé par les institutions, les entreprises, les organismes communautaires et les citoyens du territoire.</w:t>
      </w:r>
    </w:p>
    <w:p>
      <w:pPr>
        <w:spacing w:after="150"/>
        <w:jc w:val="both"/>
      </w:pPr>
      <w:r>
        <w:rPr>
          <w:sz w:val="22"/>
          <w:szCs w:val="22"/>
        </w:rPr>
        <w:t xml:space="preserve">En adhérant à cette charte, chaque acteur reconnaît que la transition socioclimatique du territoire ne réussira pas isolément, mais par la contribution coordonnée de tous, chacun à partir de sa position propre.</w:t>
      </w:r>
    </w:p>
    <w:p>
      <w:pPr>
        <w:pStyle w:val="Heading1"/>
        <w:spacing w:after="130" w:before="260"/>
      </w:pPr>
      <w:r>
        <w:t xml:space="preserve">Notre vision commune</w:t>
      </w:r>
    </w:p>
    <w:p>
      <w:pPr>
        <w:spacing w:after="150"/>
        <w:jc w:val="both"/>
      </w:pPr>
      <w:r>
        <w:rPr>
          <w:sz w:val="22"/>
          <w:szCs w:val="22"/>
        </w:rPr>
        <w:t xml:space="preserve">La démarche menée jusqu'ici a révélé une vision partagée par l'ensemble des acteurs du territoire, malgré leurs différences de mission et de mandat :</w:t>
      </w:r>
    </w:p>
    <w:p>
      <w:pPr>
        <w:pStyle w:val="ListParagraph"/>
        <w:numPr>
          <w:ilvl w:val="0"/>
          <w:numId w:val="1"/>
        </w:numPr>
        <w:spacing w:after="90"/>
      </w:pPr>
      <w:r>
        <w:rPr>
          <w:sz w:val="22"/>
          <w:szCs w:val="22"/>
        </w:rPr>
        <w:t xml:space="preserve">La transition se fera d'abord par la mobilisation citoyenne et la démocratie participative, plutôt que par une approche uniquement technologique ou descendante.</w:t>
      </w:r>
    </w:p>
    <w:p>
      <w:pPr>
        <w:pStyle w:val="ListParagraph"/>
        <w:numPr>
          <w:ilvl w:val="0"/>
          <w:numId w:val="1"/>
        </w:numPr>
        <w:spacing w:after="90"/>
      </w:pPr>
      <w:r>
        <w:rPr>
          <w:sz w:val="22"/>
          <w:szCs w:val="22"/>
        </w:rPr>
        <w:t xml:space="preserve">La justice sociale et la carboneutralité ne sont pas des objectifs concurrents, mais des faces complémentaires d'une même transition : nous nous engageons à ne jamais sacrifier l'une pour l'autre.</w:t>
      </w:r>
    </w:p>
    <w:p>
      <w:pPr>
        <w:pStyle w:val="ListParagraph"/>
        <w:numPr>
          <w:ilvl w:val="0"/>
          <w:numId w:val="1"/>
        </w:numPr>
        <w:spacing w:after="90"/>
      </w:pPr>
      <w:r>
        <w:rPr>
          <w:sz w:val="22"/>
          <w:szCs w:val="22"/>
        </w:rPr>
        <w:t xml:space="preserve">Le territoire agit d'abord à l'échelle de ses milieux de vie, tout en restant ouvert aux collaborations régionales et nationales lorsque nécessaire.</w:t>
      </w:r>
    </w:p>
    <w:p>
      <w:pPr>
        <w:pStyle w:val="ListParagraph"/>
        <w:numPr>
          <w:ilvl w:val="0"/>
          <w:numId w:val="1"/>
        </w:numPr>
        <w:spacing w:after="90"/>
      </w:pPr>
      <w:r>
        <w:rPr>
          <w:sz w:val="22"/>
          <w:szCs w:val="22"/>
        </w:rPr>
        <w:t xml:space="preserve">Nos décisions se fondent sur des données partagées, documentées et vérifiables plutôt que sur des impressions ou des intentions non mesurées.</w:t>
      </w:r>
    </w:p>
    <w:p>
      <w:pPr>
        <w:pStyle w:val="Heading1"/>
        <w:spacing w:after="130" w:before="260"/>
      </w:pPr>
      <w:r>
        <w:t xml:space="preserve">Nos engagements collectifs</w:t>
      </w:r>
    </w:p>
    <w:p>
      <w:pPr>
        <w:pStyle w:val="ListParagraph"/>
        <w:numPr>
          <w:ilvl w:val="0"/>
          <w:numId w:val="1"/>
        </w:numPr>
        <w:spacing w:after="90"/>
      </w:pPr>
      <w:r>
        <w:rPr>
          <w:sz w:val="22"/>
          <w:szCs w:val="22"/>
        </w:rPr>
        <w:t xml:space="preserve">Participer de bonne foi à la démarche de mesure et de suivi du territoire (Boussole, bilans d'impact environnemental), avec des données aussi exactes que possible, en indiquant honnêtement leur niveau de fiabilité.</w:t>
      </w:r>
    </w:p>
    <w:p>
      <w:pPr>
        <w:pStyle w:val="ListParagraph"/>
        <w:numPr>
          <w:ilvl w:val="0"/>
          <w:numId w:val="1"/>
        </w:numPr>
        <w:spacing w:after="90"/>
      </w:pPr>
      <w:r>
        <w:rPr>
          <w:sz w:val="22"/>
          <w:szCs w:val="22"/>
        </w:rPr>
        <w:t xml:space="preserve">Contribuer, à notre mesure et selon notre rôle, au plan d'action climatique collectif du territoire, plutôt que d'agir uniquement en fonction de nos propres priorités internes.</w:t>
      </w:r>
    </w:p>
    <w:p>
      <w:pPr>
        <w:pStyle w:val="ListParagraph"/>
        <w:numPr>
          <w:ilvl w:val="0"/>
          <w:numId w:val="1"/>
        </w:numPr>
        <w:spacing w:after="90"/>
      </w:pPr>
      <w:r>
        <w:rPr>
          <w:sz w:val="22"/>
          <w:szCs w:val="22"/>
        </w:rPr>
        <w:t xml:space="preserve">Partager nos efforts et nos résultats avec les autres acteurs du territoire, dans un esprit de transparence plutôt que de compétition.</w:t>
      </w:r>
    </w:p>
    <w:p>
      <w:pPr>
        <w:pStyle w:val="ListParagraph"/>
        <w:numPr>
          <w:ilvl w:val="0"/>
          <w:numId w:val="1"/>
        </w:numPr>
        <w:spacing w:after="90"/>
      </w:pPr>
      <w:r>
        <w:rPr>
          <w:sz w:val="22"/>
          <w:szCs w:val="22"/>
        </w:rPr>
        <w:t xml:space="preserve">Collaborer avec les autres acteurs identifiés comme partenaires potentiels pour une action donnée, plutôt que de dupliquer les efforts.</w:t>
      </w:r>
    </w:p>
    <w:p>
      <w:pPr>
        <w:pStyle w:val="ListParagraph"/>
        <w:numPr>
          <w:ilvl w:val="0"/>
          <w:numId w:val="1"/>
        </w:numPr>
        <w:spacing w:after="90"/>
      </w:pPr>
      <w:r>
        <w:rPr>
          <w:sz w:val="22"/>
          <w:szCs w:val="22"/>
        </w:rPr>
        <w:t xml:space="preserve">Revisiter notre contribution chaque année, en refaisant notre bilan et en ajustant nos actions à la lumière de ce qui fonctionne et de ce qui doit changer de cap.</w:t>
      </w:r>
    </w:p>
    <w:p>
      <w:pPr>
        <w:pStyle w:val="ListParagraph"/>
        <w:numPr>
          <w:ilvl w:val="0"/>
          <w:numId w:val="1"/>
        </w:numPr>
        <w:spacing w:after="90"/>
      </w:pPr>
      <w:r>
        <w:rPr>
          <w:sz w:val="22"/>
          <w:szCs w:val="22"/>
        </w:rPr>
        <w:t xml:space="preserve">Respecter la confidentialité des données des autres acteurs du territoire, et n'utiliser les données partagées que dans l'esprit collaboratif de cette charte.</w:t>
      </w:r>
    </w:p>
    <w:p>
      <w:pPr>
        <w:pStyle w:val="Heading1"/>
        <w:spacing w:after="130" w:before="260"/>
      </w:pPr>
      <w:r>
        <w:t xml:space="preserve">Engagements spécifiques selon notre rôle</w:t>
      </w:r>
    </w:p>
    <w:p>
      <w:pPr>
        <w:spacing w:after="150"/>
        <w:jc w:val="both"/>
      </w:pPr>
      <w:r>
        <w:rPr>
          <w:sz w:val="22"/>
          <w:szCs w:val="22"/>
        </w:rPr>
        <w:t xml:space="preserve">Le plan d'action collectif est le même pour tout le territoire, mais la façon d'y contribuer diffère selon notre position. Chaque type d'acteur s'engage selon les leviers qui lui sont propres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2B2B2B" w:val="clear"/>
          </w:tcPr>
          <w:p>
            <w:r>
              <w:rPr>
                <w:b/>
                <w:bCs/>
                <w:color w:val="FFFFFF"/>
                <w:sz w:val="20"/>
                <w:szCs w:val="20"/>
              </w:rPr>
              <w:t xml:space="preserve">Type d'acteur</w:t>
            </w:r>
          </w:p>
        </w:tc>
        <w:tc>
          <w:tcPr>
            <w:tcW w:type="dxa" w:w="6200"/>
            <w:shd w:fill="2B2B2B" w:val="clear"/>
          </w:tcPr>
          <w:p>
            <w:r>
              <w:rPr>
                <w:b/>
                <w:bCs/>
                <w:color w:val="FFFFFF"/>
                <w:sz w:val="20"/>
                <w:szCs w:val="20"/>
              </w:rPr>
              <w:t xml:space="preserve">Nous nous engageons à...</w:t>
            </w:r>
          </w:p>
        </w:tc>
      </w:tr>
      <w:tr>
        <w:tc>
          <w:tcPr>
            <w:tcW w:type="dxa" w:w="3200"/>
          </w:tcPr>
          <w:p>
            <w:r>
              <w:rPr>
                <w:b w:val="false"/>
                <w:bCs w:val="false"/>
                <w:color w:val="000000"/>
                <w:sz w:val="20"/>
                <w:szCs w:val="20"/>
              </w:rPr>
              <w:t xml:space="preserve">Institutions (municipalités, MRC, organismes publics)</w:t>
            </w:r>
          </w:p>
        </w:tc>
        <w:tc>
          <w:tcPr>
            <w:tcW w:type="dxa" w:w="6200"/>
          </w:tcPr>
          <w:p>
            <w:r>
              <w:rPr>
                <w:b w:val="false"/>
                <w:bCs w:val="false"/>
                <w:color w:val="000000"/>
                <w:sz w:val="20"/>
                <w:szCs w:val="20"/>
              </w:rPr>
              <w:t xml:space="preserve">Intégrer les priorités du plan d'action dans nos règlements, nos schémas d'aménagement et nos budgets; faciliter la concertation entre acteurs du territoire.</w:t>
            </w:r>
          </w:p>
        </w:tc>
      </w:tr>
      <w:tr>
        <w:tc>
          <w:tcPr>
            <w:tcW w:type="dxa" w:w="3200"/>
          </w:tcPr>
          <w:p>
            <w:r>
              <w:rPr>
                <w:b w:val="false"/>
                <w:bCs w:val="false"/>
                <w:color w:val="000000"/>
                <w:sz w:val="20"/>
                <w:szCs w:val="20"/>
              </w:rPr>
              <w:t xml:space="preserve">Entreprises</w:t>
            </w:r>
          </w:p>
        </w:tc>
        <w:tc>
          <w:tcPr>
            <w:tcW w:type="dxa" w:w="6200"/>
          </w:tcPr>
          <w:p>
            <w:r>
              <w:rPr>
                <w:b w:val="false"/>
                <w:bCs w:val="false"/>
                <w:color w:val="000000"/>
                <w:sz w:val="20"/>
                <w:szCs w:val="20"/>
              </w:rPr>
              <w:t xml:space="preserve">Adapter nos pratiques opérationnelles aux priorités identifiées dans notre secteur; investir dans des solutions durables lorsque notre capacité le permet.</w:t>
            </w:r>
          </w:p>
        </w:tc>
      </w:tr>
      <w:tr>
        <w:tc>
          <w:tcPr>
            <w:tcW w:type="dxa" w:w="3200"/>
          </w:tcPr>
          <w:p>
            <w:r>
              <w:rPr>
                <w:b w:val="false"/>
                <w:bCs w:val="false"/>
                <w:color w:val="000000"/>
                <w:sz w:val="20"/>
                <w:szCs w:val="20"/>
              </w:rPr>
              <w:t xml:space="preserve">Organismes communautaires</w:t>
            </w:r>
          </w:p>
        </w:tc>
        <w:tc>
          <w:tcPr>
            <w:tcW w:type="dxa" w:w="6200"/>
          </w:tcPr>
          <w:p>
            <w:r>
              <w:rPr>
                <w:b w:val="false"/>
                <w:bCs w:val="false"/>
                <w:color w:val="000000"/>
                <w:sz w:val="20"/>
                <w:szCs w:val="20"/>
              </w:rPr>
              <w:t xml:space="preserve">Mobiliser et accompagner les populations que nous desservons, en portant une attention particulière aux personnes les plus vulnérables aux crises climatiques et économiques.</w:t>
            </w:r>
          </w:p>
        </w:tc>
      </w:tr>
      <w:tr>
        <w:tc>
          <w:tcPr>
            <w:tcW w:type="dxa" w:w="3200"/>
          </w:tcPr>
          <w:p>
            <w:r>
              <w:rPr>
                <w:b w:val="false"/>
                <w:bCs w:val="false"/>
                <w:color w:val="000000"/>
                <w:sz w:val="20"/>
                <w:szCs w:val="20"/>
              </w:rPr>
              <w:t xml:space="preserve">Citoyennes et citoyens</w:t>
            </w:r>
          </w:p>
        </w:tc>
        <w:tc>
          <w:tcPr>
            <w:tcW w:type="dxa" w:w="6200"/>
          </w:tcPr>
          <w:p>
            <w:r>
              <w:rPr>
                <w:b w:val="false"/>
                <w:bCs w:val="false"/>
                <w:color w:val="000000"/>
                <w:sz w:val="20"/>
                <w:szCs w:val="20"/>
              </w:rPr>
              <w:t xml:space="preserve">Adapter nos gestes quotidiens, participer aux consultations et initiatives locales, et encourager notre entourage à s'engager à son tour.</w:t>
            </w:r>
          </w:p>
        </w:tc>
      </w:tr>
    </w:tbl>
    <w:p>
      <w:pPr>
        <w:pStyle w:val="Heading1"/>
        <w:spacing w:after="130" w:before="260"/>
      </w:pPr>
      <w:r>
        <w:t xml:space="preserve">Le rôle de la CDC de L'Érable</w:t>
      </w:r>
    </w:p>
    <w:p>
      <w:pPr>
        <w:spacing w:after="150"/>
        <w:jc w:val="both"/>
      </w:pPr>
      <w:r>
        <w:rPr>
          <w:sz w:val="22"/>
          <w:szCs w:val="22"/>
        </w:rPr>
        <w:t xml:space="preserve">La Corporation de développement communautaire de L'Érable s'engage à assumer un rôle de coordination et de facilitation entre les acteurs du territoire : maintenir à jour le portrait collectif de la transition, faciliter les connexions entre acteurs, protéger la confidentialité des données individuelles conformément à la Loi 25, et rendre compte, de façon transparente, de la progression collective du territoire vers la vision énoncée dans cette charte.</w:t>
      </w:r>
    </w:p>
    <w:p>
      <w:pPr>
        <w:pStyle w:val="Heading1"/>
        <w:spacing w:after="130" w:before="260"/>
      </w:pPr>
      <w:r>
        <w:t xml:space="preserve">Adhésion</w:t>
      </w:r>
    </w:p>
    <w:p>
      <w:pPr>
        <w:spacing w:after="150"/>
        <w:jc w:val="both"/>
      </w:pPr>
      <w:r>
        <w:rPr>
          <w:sz w:val="22"/>
          <w:szCs w:val="22"/>
        </w:rPr>
        <w:t xml:space="preserve">En signant cette charte, notre organisation ou notre foyer confirme son adhésion à la vision et aux engagements ci-dessus, dans la mesure de ses moyens et selon son rôle propre sur le territoire.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2B2B2B" w:val="clear"/>
          </w:tcPr>
          <w:p>
            <w:r>
              <w:rPr>
                <w:b/>
                <w:bCs/>
                <w:color w:val="FFFFFF"/>
                <w:sz w:val="20"/>
                <w:szCs w:val="20"/>
              </w:rPr>
              <w:t xml:space="preserve">Nom de l'organisation / du foyer</w:t>
            </w:r>
          </w:p>
        </w:tc>
        <w:tc>
          <w:tcPr>
            <w:tcW w:type="dxa" w:w="3200"/>
            <w:shd w:fill="2B2B2B" w:val="clear"/>
          </w:tcPr>
          <w:p>
            <w:r>
              <w:rPr>
                <w:b/>
                <w:bCs/>
                <w:color w:val="FFFFFF"/>
                <w:sz w:val="20"/>
                <w:szCs w:val="20"/>
              </w:rPr>
              <w:t xml:space="preserve">Représenté(e) par</w:t>
            </w:r>
          </w:p>
        </w:tc>
        <w:tc>
          <w:tcPr>
            <w:tcW w:type="dxa" w:w="3200"/>
            <w:shd w:fill="2B2B2B" w:val="clear"/>
          </w:tcPr>
          <w:p>
            <w:r>
              <w:rPr>
                <w:b/>
                <w:bCs/>
                <w:color w:val="FFFFFF"/>
                <w:sz w:val="20"/>
                <w:szCs w:val="20"/>
              </w:rPr>
              <w:t xml:space="preserve">Date et signature</w:t>
            </w:r>
          </w:p>
        </w:tc>
      </w:tr>
      <w:tr>
        <w:tc>
          <w:tcPr>
            <w:tcW w:type="dxa" w:w="3200"/>
          </w:tcPr>
          <w:p>
            <w:r>
              <w:rPr>
                <w:b w:val="false"/>
                <w:bCs w:val="false"/>
                <w:color w:val="000000"/>
                <w:sz w:val="20"/>
                <w:szCs w:val="20"/>
              </w:rPr>
              <w:t xml:space="preserve"/>
            </w:r>
          </w:p>
        </w:tc>
        <w:tc>
          <w:tcPr>
            <w:tcW w:type="dxa" w:w="3200"/>
          </w:tcPr>
          <w:p>
            <w:r>
              <w:rPr>
                <w:b w:val="false"/>
                <w:bCs w:val="false"/>
                <w:color w:val="000000"/>
                <w:sz w:val="20"/>
                <w:szCs w:val="20"/>
              </w:rPr>
              <w:t xml:space="preserve"/>
            </w:r>
          </w:p>
        </w:tc>
        <w:tc>
          <w:tcPr>
            <w:tcW w:type="dxa" w:w="3200"/>
          </w:tcPr>
          <w:p>
            <w:r>
              <w:rPr>
                <w:b w:val="false"/>
                <w:bCs w:val="false"/>
                <w:color w:val="000000"/>
                <w:sz w:val="20"/>
                <w:szCs w:val="20"/>
              </w:rPr>
              <w:t xml:space="preserve"/>
            </w:r>
          </w:p>
        </w:tc>
      </w:tr>
      <w:tr>
        <w:tc>
          <w:tcPr>
            <w:tcW w:type="dxa" w:w="3200"/>
          </w:tcPr>
          <w:p>
            <w:r>
              <w:rPr>
                <w:b w:val="false"/>
                <w:bCs w:val="false"/>
                <w:color w:val="000000"/>
                <w:sz w:val="20"/>
                <w:szCs w:val="20"/>
              </w:rPr>
              <w:t xml:space="preserve"/>
            </w:r>
          </w:p>
        </w:tc>
        <w:tc>
          <w:tcPr>
            <w:tcW w:type="dxa" w:w="3200"/>
          </w:tcPr>
          <w:p>
            <w:r>
              <w:rPr>
                <w:b w:val="false"/>
                <w:bCs w:val="false"/>
                <w:color w:val="000000"/>
                <w:sz w:val="20"/>
                <w:szCs w:val="20"/>
              </w:rPr>
              <w:t xml:space="preserve"/>
            </w:r>
          </w:p>
        </w:tc>
        <w:tc>
          <w:tcPr>
            <w:tcW w:type="dxa" w:w="3200"/>
          </w:tcPr>
          <w:p>
            <w:r>
              <w:rPr>
                <w:b w:val="false"/>
                <w:bCs w:val="false"/>
                <w:color w:val="000000"/>
                <w:sz w:val="20"/>
                <w:szCs w:val="20"/>
              </w:rPr>
              <w:t xml:space="preserve"/>
            </w:r>
          </w:p>
        </w:tc>
      </w:tr>
    </w:tbl>
    <w:p>
      <w:pPr>
        <w:spacing w:before="300"/>
      </w:pPr>
    </w:p>
    <w:p>
      <w:pPr>
        <w:jc w:val="center"/>
      </w:pPr>
      <w:r>
        <w:rPr>
          <w:i/>
          <w:iCs/>
          <w:color w:val="5F5E5A"/>
          <w:sz w:val="18"/>
          <w:szCs w:val="18"/>
        </w:rPr>
        <w:t xml:space="preserve">Projet de transition socioclimatique — CDC de L'Érable, 2025</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2026-07-21T01:16:45.354Z</dcterms:created>
  <dcterms:modified xsi:type="dcterms:W3CDTF">2026-07-21T01:16:45.366Z</dcterms:modified>
</cp:coreProperties>
</file>

<file path=docProps/custom.xml><?xml version="1.0" encoding="utf-8"?>
<Properties xmlns="http://schemas.openxmlformats.org/officeDocument/2006/custom-properties" xmlns:vt="http://schemas.openxmlformats.org/officeDocument/2006/docPropsVTypes"/>
</file>