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>Lab</w:t>
      </w:r>
      <w:r w:rsidR="00014FA8">
        <w:t>–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554B4E" w:rsidRPr="006E6581" w:rsidRDefault="000E7F69" w:rsidP="00193F14">
      <w:pPr>
        <w:pStyle w:val="Bulletlevel1"/>
      </w:pPr>
      <w:r>
        <w:t xml:space="preserve">Identify </w:t>
      </w:r>
      <w:r w:rsidR="000719A5">
        <w:t xml:space="preserve">the </w:t>
      </w:r>
      <w:r>
        <w:t>network and host portion of an IP address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</w:t>
      </w:r>
      <w:r w:rsidR="000719A5">
        <w:t xml:space="preserve">the </w:t>
      </w:r>
      <w:r>
        <w:t xml:space="preserve">range of host addresses given a </w:t>
      </w:r>
      <w:r w:rsidR="007F4B09">
        <w:t>n</w:t>
      </w:r>
      <w:r>
        <w:t>etwork/</w:t>
      </w:r>
      <w:r w:rsidR="007F4B09">
        <w:t>p</w:t>
      </w:r>
      <w:r w:rsidR="00C9120F">
        <w:t>refix</w:t>
      </w:r>
      <w:r>
        <w:t xml:space="preserve"> mask pair</w:t>
      </w:r>
      <w:r w:rsidR="000719A5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6E6581" w:rsidRPr="006E6581" w:rsidRDefault="001B6911" w:rsidP="006E6581">
      <w:pPr>
        <w:pStyle w:val="Bulletlevel1"/>
      </w:pPr>
      <w:r>
        <w:t>Identify</w:t>
      </w:r>
      <w:r w:rsidR="000E7F69">
        <w:t xml:space="preserve"> </w:t>
      </w:r>
      <w:r w:rsidR="000719A5">
        <w:t xml:space="preserve">the </w:t>
      </w:r>
      <w:r w:rsidR="000E7F69">
        <w:t>type of address (network, host, multicast</w:t>
      </w:r>
      <w:r w:rsidR="001E2A8D">
        <w:t>,</w:t>
      </w:r>
      <w:r w:rsidR="000E7F69">
        <w:t xml:space="preserve"> or broadcast)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whether </w:t>
      </w:r>
      <w:r w:rsidR="004D5DE2">
        <w:t xml:space="preserve">an </w:t>
      </w:r>
      <w:r>
        <w:t>address is public or private</w:t>
      </w:r>
      <w:r w:rsidR="000719A5">
        <w:t>.</w:t>
      </w:r>
    </w:p>
    <w:p w:rsidR="00205707" w:rsidRPr="006E6581" w:rsidRDefault="000719A5" w:rsidP="006E6581">
      <w:pPr>
        <w:pStyle w:val="Bulletlevel1"/>
      </w:pPr>
      <w:r>
        <w:t xml:space="preserve">Determine </w:t>
      </w:r>
      <w:r w:rsidR="00205707">
        <w:t xml:space="preserve">if </w:t>
      </w:r>
      <w:r>
        <w:t xml:space="preserve">an </w:t>
      </w:r>
      <w:r w:rsidR="00205707">
        <w:t>address assignment is a valid host address</w:t>
      </w:r>
      <w:r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C935A3" w:rsidP="005E65B5">
      <w:pPr>
        <w:pStyle w:val="BodyTextL25"/>
      </w:pPr>
      <w:r w:rsidRPr="001C2CE5">
        <w:rPr>
          <w:lang w:val="en-CA"/>
        </w:rPr>
        <w:t>Addressing is a</w:t>
      </w:r>
      <w:r w:rsidR="000719A5">
        <w:rPr>
          <w:lang w:val="en-CA"/>
        </w:rPr>
        <w:t>n important</w:t>
      </w:r>
      <w:r w:rsidRPr="001C2CE5">
        <w:rPr>
          <w:lang w:val="en-CA"/>
        </w:rPr>
        <w:t xml:space="preserve"> function of </w:t>
      </w:r>
      <w:r w:rsidR="004D5DE2">
        <w:rPr>
          <w:lang w:val="en-CA"/>
        </w:rPr>
        <w:t>n</w:t>
      </w:r>
      <w:r w:rsidRPr="001C2CE5">
        <w:rPr>
          <w:lang w:val="en-CA"/>
        </w:rPr>
        <w:t xml:space="preserve">etwork layer protocols </w:t>
      </w:r>
      <w:r w:rsidR="00CE1DE5">
        <w:rPr>
          <w:lang w:val="en-CA"/>
        </w:rPr>
        <w:t>because it</w:t>
      </w:r>
      <w:r w:rsidRPr="001C2CE5">
        <w:rPr>
          <w:lang w:val="en-CA"/>
        </w:rPr>
        <w:t xml:space="preserve"> enables data communication between hosts on the same network</w:t>
      </w:r>
      <w:r w:rsidR="00CE1DE5">
        <w:rPr>
          <w:lang w:val="en-CA"/>
        </w:rPr>
        <w:t>,</w:t>
      </w:r>
      <w:r w:rsidRPr="001C2CE5">
        <w:rPr>
          <w:lang w:val="en-CA"/>
        </w:rPr>
        <w:t xml:space="preserve"> or on different networks.</w:t>
      </w:r>
      <w:r>
        <w:rPr>
          <w:lang w:val="en-CA"/>
        </w:rPr>
        <w:t xml:space="preserve"> 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D87F26" w:rsidRDefault="009D2C27" w:rsidP="00431654">
      <w:pPr>
        <w:pStyle w:val="InstNoteRedL25"/>
      </w:pPr>
      <w:r w:rsidRPr="00C67E3B">
        <w:rPr>
          <w:b/>
        </w:rPr>
        <w:t>Instructor Note</w:t>
      </w:r>
      <w:r w:rsidRPr="00C67E3B">
        <w:t xml:space="preserve">: </w:t>
      </w:r>
      <w:r w:rsidR="004C2959">
        <w:t xml:space="preserve">This activity can be done individually in class or assigned as homework. The lab can also be done in class with students working in pairs. If </w:t>
      </w:r>
      <w:r w:rsidR="000719A5">
        <w:t xml:space="preserve">the </w:t>
      </w:r>
      <w:r w:rsidR="004C2959">
        <w:t>lab is done in class, it should be followed up by discussion with correct answers.</w:t>
      </w:r>
      <w:r w:rsidR="00EE6C5F">
        <w:t xml:space="preserve"> All public IP addresses used in this lab are owned by Cisco.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4D5DE2" w:rsidP="0038335B">
      <w:pPr>
        <w:pStyle w:val="Bulletlevel1"/>
      </w:pPr>
      <w:r>
        <w:t>Device</w:t>
      </w:r>
      <w:r w:rsidR="0038335B" w:rsidRPr="0038335B">
        <w:t xml:space="preserve"> with Internet access</w:t>
      </w:r>
    </w:p>
    <w:p w:rsidR="00A270CB" w:rsidRDefault="00A270CB" w:rsidP="00CD7F73">
      <w:pPr>
        <w:pStyle w:val="Bulletlevel1"/>
      </w:pPr>
      <w:r>
        <w:t>Optional: IPv4 address calculator</w:t>
      </w:r>
    </w:p>
    <w:p w:rsidR="00112AC5" w:rsidRPr="004C0909" w:rsidRDefault="000A3C36" w:rsidP="00CD7F73">
      <w:pPr>
        <w:pStyle w:val="PartHead"/>
      </w:pPr>
      <w:r>
        <w:t>Identify IPv4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362C8C">
      <w:pPr>
        <w:pStyle w:val="BodyTextL5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362C8C">
      <w:pPr>
        <w:pStyle w:val="BodyTextL5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362C8C">
      <w:pPr>
        <w:pStyle w:val="BodyTextL50"/>
      </w:pPr>
      <w:r>
        <w:t>H = all 8 bits for an octet</w:t>
      </w:r>
      <w:r w:rsidR="00A4003E">
        <w:t xml:space="preserve"> are in the host portion of the address</w:t>
      </w:r>
    </w:p>
    <w:p w:rsidR="00CA285E" w:rsidRPr="00CA285E" w:rsidRDefault="00CA285E" w:rsidP="00362C8C">
      <w:pPr>
        <w:pStyle w:val="BodyTextL5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32A80" w:rsidTr="00C32A80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Default="00C32A80" w:rsidP="003D6B74">
            <w:pPr>
              <w:pStyle w:val="TableHeading"/>
            </w:pPr>
            <w:r>
              <w:t>Network/Host</w:t>
            </w:r>
          </w:p>
          <w:p w:rsidR="00C32A80" w:rsidRDefault="00C32A80" w:rsidP="003D6B74">
            <w:pPr>
              <w:pStyle w:val="TableHeading"/>
            </w:pPr>
            <w:r>
              <w:t>N,n = Network</w:t>
            </w:r>
          </w:p>
          <w:p w:rsidR="00C32A80" w:rsidRPr="00E87D62" w:rsidRDefault="00C32A80" w:rsidP="003D6B74">
            <w:pPr>
              <w:pStyle w:val="TableHeading"/>
            </w:pPr>
            <w:r>
              <w:t>H,h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:rsidR="00C32A80" w:rsidRPr="00E87D62" w:rsidRDefault="00C32A80" w:rsidP="00B25CFC">
            <w:pPr>
              <w:pStyle w:val="TableText"/>
            </w:pPr>
            <w:r w:rsidRPr="00E87D62">
              <w:t>255.255.255.0</w:t>
            </w:r>
          </w:p>
        </w:tc>
        <w:tc>
          <w:tcPr>
            <w:tcW w:w="1957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N.N.nnnnnnnh.H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N.N.N.nnnhhhhh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255.255.255.224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209.165.200.224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255.255.255.0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172.31.45.0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N.N.N.nnhhhhhh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255.255.255.192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10.1.8.192</w:t>
            </w:r>
          </w:p>
        </w:tc>
      </w:tr>
      <w:tr w:rsidR="00C32A80" w:rsidRPr="00C9120F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N.N.nnnnhhhh.H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255.255.240.0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172.16.112.0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N.N.N.nhhhhhhh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255.255.255.128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10.1.1.0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N.N.N.nnnhhhhh</w:t>
            </w:r>
          </w:p>
        </w:tc>
        <w:tc>
          <w:tcPr>
            <w:tcW w:w="1800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255.255.255.224</w:t>
            </w:r>
          </w:p>
        </w:tc>
        <w:tc>
          <w:tcPr>
            <w:tcW w:w="1957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209.165.202.128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N.N.N.nnnnhhhh</w:t>
            </w:r>
          </w:p>
        </w:tc>
        <w:tc>
          <w:tcPr>
            <w:tcW w:w="1800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255.255.255.240</w:t>
            </w:r>
          </w:p>
        </w:tc>
        <w:tc>
          <w:tcPr>
            <w:tcW w:w="1957" w:type="dxa"/>
            <w:vAlign w:val="bottom"/>
          </w:tcPr>
          <w:p w:rsidR="00C32A80" w:rsidRPr="00C9120F" w:rsidRDefault="00957841" w:rsidP="00B25CFC">
            <w:pPr>
              <w:pStyle w:val="TableText"/>
              <w:rPr>
                <w:rStyle w:val="AnswerGray"/>
              </w:rPr>
            </w:pPr>
            <w:r w:rsidRPr="00C9120F">
              <w:rPr>
                <w:rStyle w:val="AnswerGray"/>
              </w:rPr>
              <w:t>192.168.28.32</w:t>
            </w:r>
          </w:p>
        </w:tc>
      </w:tr>
    </w:tbl>
    <w:p w:rsidR="000719A5" w:rsidRDefault="005E56BF" w:rsidP="00787CC1">
      <w:pPr>
        <w:pStyle w:val="StepHead"/>
      </w:pPr>
      <w:r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9120F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195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  <w:r w:rsidRPr="00F4308B">
              <w:rPr>
                <w:rStyle w:val="AnswerGray"/>
              </w:rPr>
              <w:t>10.101.98.1</w:t>
            </w:r>
          </w:p>
        </w:tc>
        <w:tc>
          <w:tcPr>
            <w:tcW w:w="1800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  <w:r w:rsidRPr="00F4308B">
              <w:rPr>
                <w:rStyle w:val="AnswerGray"/>
              </w:rPr>
              <w:t>10.101.99.254</w:t>
            </w:r>
          </w:p>
        </w:tc>
        <w:tc>
          <w:tcPr>
            <w:tcW w:w="1957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  <w:r w:rsidRPr="00F4308B">
              <w:rPr>
                <w:rStyle w:val="AnswerGray"/>
              </w:rPr>
              <w:t>10.101.99.255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209.165.200.225</w:t>
            </w: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209.165.200.254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172.31.45.1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172.31.45.254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10.1.8.193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10.1.8.254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10.1.8.255</w:t>
            </w:r>
          </w:p>
        </w:tc>
      </w:tr>
      <w:tr w:rsidR="00C9120F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172.16.112.1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172.16.127.254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10.1.1.126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10.1.1.127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209.165.202.129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209.165.202.158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209.165.202.159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192.168.28.33</w:t>
            </w:r>
          </w:p>
        </w:tc>
        <w:tc>
          <w:tcPr>
            <w:tcW w:w="1800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192.168.28.46</w:t>
            </w:r>
          </w:p>
        </w:tc>
        <w:tc>
          <w:tcPr>
            <w:tcW w:w="1957" w:type="dxa"/>
            <w:vAlign w:val="bottom"/>
          </w:tcPr>
          <w:p w:rsidR="00C9120F" w:rsidRPr="00C9120F" w:rsidRDefault="00044C0E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192.168.28.47</w:t>
            </w:r>
          </w:p>
        </w:tc>
      </w:tr>
    </w:tbl>
    <w:p w:rsidR="00A251F9" w:rsidRDefault="00A251F9" w:rsidP="00A251F9">
      <w:pPr>
        <w:pStyle w:val="PartHead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193F14">
      <w:pPr>
        <w:pStyle w:val="StepHead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Tr="00F4308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1B6911">
            <w:pPr>
              <w:pStyle w:val="TableHeading"/>
            </w:pPr>
            <w:r>
              <w:lastRenderedPageBreak/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Address Type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F4308B" w:rsidRPr="00E87D62" w:rsidRDefault="00F4308B" w:rsidP="00FF3148">
            <w:pPr>
              <w:pStyle w:val="TableText"/>
              <w:jc w:val="center"/>
            </w:pPr>
            <w: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vAlign w:val="bottom"/>
          </w:tcPr>
          <w:p w:rsidR="00F4308B" w:rsidRPr="00C9120F" w:rsidRDefault="00F4308B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FF3148">
            <w:pPr>
              <w:pStyle w:val="TableText"/>
              <w:jc w:val="center"/>
              <w:rPr>
                <w:rStyle w:val="AnswerGray"/>
              </w:rPr>
            </w:pPr>
            <w:r w:rsidRPr="001B045A">
              <w:rPr>
                <w:rStyle w:val="AnswerGray"/>
              </w:rPr>
              <w:t>broadcast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9565AD" w:rsidP="00B25CFC">
            <w:pPr>
              <w:pStyle w:val="TableText"/>
            </w:pPr>
            <w:r>
              <w:t>239.192.1.100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9565AD">
              <w:rPr>
                <w:rStyle w:val="AnswerGray"/>
                <w:shd w:val="clear" w:color="auto" w:fill="auto"/>
              </w:rPr>
              <w:t>255.252.0.0</w:t>
            </w:r>
          </w:p>
        </w:tc>
        <w:tc>
          <w:tcPr>
            <w:tcW w:w="1800" w:type="dxa"/>
            <w:vAlign w:val="bottom"/>
          </w:tcPr>
          <w:p w:rsidR="00F4308B" w:rsidRPr="00C9120F" w:rsidRDefault="009565AD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172.</w:t>
            </w:r>
            <w:r w:rsidR="009565AD">
              <w:t>25</w:t>
            </w:r>
            <w:r>
              <w:t>.</w:t>
            </w:r>
            <w:r w:rsidR="009565AD">
              <w:t>12.</w:t>
            </w:r>
            <w:r w:rsidR="00835139">
              <w:t>52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C9120F" w:rsidRDefault="009565AD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</w:t>
            </w:r>
            <w:r w:rsidR="00835139">
              <w:t>255.0.0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vAlign w:val="bottom"/>
          </w:tcPr>
          <w:p w:rsidR="00F4308B" w:rsidRPr="001B045A" w:rsidRDefault="00835139" w:rsidP="001B045A">
            <w:pPr>
              <w:pStyle w:val="TableText"/>
              <w:jc w:val="center"/>
              <w:rPr>
                <w:rStyle w:val="AnswerGray"/>
              </w:rPr>
            </w:pPr>
            <w:r w:rsidRPr="001B045A">
              <w:rPr>
                <w:rStyle w:val="AnswerGray"/>
              </w:rPr>
              <w:t>host</w:t>
            </w:r>
          </w:p>
        </w:tc>
      </w:tr>
      <w:tr w:rsidR="00F4308B" w:rsidRPr="00C9120F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835139" w:rsidP="00B25CFC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vAlign w:val="bottom"/>
          </w:tcPr>
          <w:p w:rsidR="00F4308B" w:rsidRPr="001B045A" w:rsidRDefault="00835139" w:rsidP="001B045A">
            <w:pPr>
              <w:pStyle w:val="TableText"/>
              <w:jc w:val="center"/>
              <w:rPr>
                <w:rStyle w:val="AnswerGray"/>
              </w:rPr>
            </w:pPr>
            <w:r w:rsidRPr="001B045A">
              <w:rPr>
                <w:rStyle w:val="AnswerGray"/>
              </w:rPr>
              <w:t>network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F4308B" w:rsidRPr="001B045A" w:rsidRDefault="007D4E1C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</w:t>
            </w:r>
            <w:r w:rsidR="000E6A35" w:rsidRPr="001B045A">
              <w:rPr>
                <w:rStyle w:val="AnswerGray"/>
              </w:rPr>
              <w:t>roadcast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vAlign w:val="bottom"/>
          </w:tcPr>
          <w:p w:rsidR="00F4308B" w:rsidRPr="001B045A" w:rsidRDefault="00F35C20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</w:t>
            </w:r>
            <w:r w:rsidR="000E6A35" w:rsidRPr="001B045A">
              <w:rPr>
                <w:rStyle w:val="AnswerGray"/>
              </w:rPr>
              <w:t>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</w:t>
            </w:r>
            <w:r w:rsidR="00C63AC8">
              <w:t>24</w:t>
            </w:r>
            <w:r>
              <w:t>.10.1.11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1B045A" w:rsidRDefault="000E6A35" w:rsidP="001B045A">
            <w:pPr>
              <w:pStyle w:val="TableText"/>
              <w:jc w:val="center"/>
              <w:rPr>
                <w:rStyle w:val="AnswerGray"/>
              </w:rPr>
            </w:pPr>
            <w:r w:rsidRPr="001B045A">
              <w:rPr>
                <w:rStyle w:val="AnswerGray"/>
              </w:rPr>
              <w:t>multicast</w:t>
            </w:r>
          </w:p>
        </w:tc>
      </w:tr>
    </w:tbl>
    <w:p w:rsidR="007C6D00" w:rsidRDefault="007C6D00" w:rsidP="007C6D00">
      <w:pPr>
        <w:pStyle w:val="StepHead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Ind w:w="-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IP Address</w:t>
            </w:r>
            <w:r w:rsidR="0069648B"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Public or 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A90D9C" w:rsidRDefault="0055129D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1B045A" w:rsidRDefault="0055129D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C9120F" w:rsidRDefault="0055129D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55129D">
              <w:t>3</w:t>
            </w:r>
            <w:r w:rsidR="00F67434">
              <w:t>0</w:t>
            </w:r>
            <w:r>
              <w:t>.1.</w:t>
            </w:r>
            <w:r w:rsidR="0055129D">
              <w:t>100</w:t>
            </w:r>
            <w:r w:rsidR="00F67434">
              <w:t>/28</w:t>
            </w:r>
          </w:p>
        </w:tc>
        <w:tc>
          <w:tcPr>
            <w:tcW w:w="2982" w:type="dxa"/>
            <w:vAlign w:val="bottom"/>
          </w:tcPr>
          <w:p w:rsidR="007C6D00" w:rsidRPr="00C9120F" w:rsidRDefault="0055129D" w:rsidP="00F67434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</w:t>
            </w:r>
            <w:r w:rsidR="00F67434">
              <w:rPr>
                <w:rStyle w:val="AnswerGray"/>
              </w:rPr>
              <w:t>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192.31.7.11/24</w:t>
            </w:r>
          </w:p>
        </w:tc>
        <w:tc>
          <w:tcPr>
            <w:tcW w:w="2982" w:type="dxa"/>
            <w:vAlign w:val="bottom"/>
          </w:tcPr>
          <w:p w:rsidR="007C6D00" w:rsidRPr="001B045A" w:rsidRDefault="0055129D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RPr="00C9120F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F67434">
              <w:t>20.1</w:t>
            </w:r>
            <w:r>
              <w:t>8.</w:t>
            </w:r>
            <w:r w:rsidR="00F67434">
              <w:t>150/22</w:t>
            </w:r>
          </w:p>
        </w:tc>
        <w:tc>
          <w:tcPr>
            <w:tcW w:w="2982" w:type="dxa"/>
            <w:vAlign w:val="bottom"/>
          </w:tcPr>
          <w:p w:rsidR="007C6D00" w:rsidRPr="001B045A" w:rsidRDefault="00F67434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128.107.10.1</w:t>
            </w:r>
            <w:r w:rsidR="00222225">
              <w:t>/16</w:t>
            </w:r>
          </w:p>
        </w:tc>
        <w:tc>
          <w:tcPr>
            <w:tcW w:w="2982" w:type="dxa"/>
            <w:vAlign w:val="bottom"/>
          </w:tcPr>
          <w:p w:rsidR="007C6D00" w:rsidRPr="001B045A" w:rsidRDefault="00F67434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192.</w:t>
            </w:r>
            <w:r w:rsidR="00222225">
              <w:t>135.250.10/24</w:t>
            </w:r>
          </w:p>
        </w:tc>
        <w:tc>
          <w:tcPr>
            <w:tcW w:w="2982" w:type="dxa"/>
            <w:vAlign w:val="bottom"/>
          </w:tcPr>
          <w:p w:rsidR="007C6D00" w:rsidRPr="001B045A" w:rsidRDefault="00222225" w:rsidP="0022222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222225" w:rsidP="00B25CFC">
            <w:pPr>
              <w:pStyle w:val="TableText"/>
            </w:pPr>
            <w:r>
              <w:t>64.104.0.11/16</w:t>
            </w:r>
          </w:p>
        </w:tc>
        <w:tc>
          <w:tcPr>
            <w:tcW w:w="2982" w:type="dxa"/>
            <w:vAlign w:val="bottom"/>
          </w:tcPr>
          <w:p w:rsidR="007C6D00" w:rsidRPr="001B045A" w:rsidRDefault="00222225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Public</w:t>
            </w:r>
          </w:p>
        </w:tc>
      </w:tr>
    </w:tbl>
    <w:p w:rsidR="007C6D00" w:rsidRDefault="00797EE6" w:rsidP="00797EE6">
      <w:pPr>
        <w:pStyle w:val="StepHead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Valid Host Address?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Reason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47AB9" w:rsidP="00B25CFC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vAlign w:val="bottom"/>
          </w:tcPr>
          <w:p w:rsidR="004B0C87" w:rsidRPr="00A90D9C" w:rsidRDefault="00447AB9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A90D9C" w:rsidRDefault="00447AB9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Loopback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1</w:t>
            </w:r>
            <w:r w:rsidR="00447AB9">
              <w:t>7</w:t>
            </w:r>
            <w:r>
              <w:t>2.16.</w:t>
            </w:r>
            <w:r w:rsidR="00447AB9">
              <w:t>255</w:t>
            </w:r>
            <w:r>
              <w:t>.</w:t>
            </w:r>
            <w:r w:rsidR="00447AB9">
              <w:t>0/16</w:t>
            </w:r>
          </w:p>
        </w:tc>
        <w:tc>
          <w:tcPr>
            <w:tcW w:w="2228" w:type="dxa"/>
            <w:vAlign w:val="bottom"/>
          </w:tcPr>
          <w:p w:rsidR="004B0C87" w:rsidRPr="00A90D9C" w:rsidRDefault="00447AB9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447AB9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 address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2</w:t>
            </w:r>
            <w:r w:rsidR="00447AB9">
              <w:t>41</w:t>
            </w:r>
            <w:r>
              <w:t>.19.1</w:t>
            </w:r>
            <w:r w:rsidR="00447AB9">
              <w:t>0</w:t>
            </w:r>
            <w:r>
              <w:t>.100</w:t>
            </w:r>
            <w:r w:rsidR="00447AB9">
              <w:t>/24</w:t>
            </w:r>
          </w:p>
        </w:tc>
        <w:tc>
          <w:tcPr>
            <w:tcW w:w="2228" w:type="dxa"/>
            <w:vAlign w:val="bottom"/>
          </w:tcPr>
          <w:p w:rsidR="004B0C87" w:rsidRPr="00A90D9C" w:rsidRDefault="00447AB9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C9120F" w:rsidRDefault="00C137BB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Reserved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A90D9C" w:rsidRDefault="007F50C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C9120F" w:rsidRDefault="007F50C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 address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A90D9C" w:rsidRDefault="007F50C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1B045A" w:rsidRDefault="007F50C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4B0C87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A90D9C" w:rsidRDefault="007C5F7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7C5F7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 address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vAlign w:val="bottom"/>
          </w:tcPr>
          <w:p w:rsidR="004B0C87" w:rsidRPr="00A90D9C" w:rsidRDefault="007C5F7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No</w:t>
            </w:r>
          </w:p>
        </w:tc>
        <w:tc>
          <w:tcPr>
            <w:tcW w:w="1800" w:type="dxa"/>
            <w:vAlign w:val="bottom"/>
          </w:tcPr>
          <w:p w:rsidR="004B0C87" w:rsidRPr="001B045A" w:rsidRDefault="007C5F7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vAlign w:val="bottom"/>
          </w:tcPr>
          <w:p w:rsidR="004B0C87" w:rsidRPr="00A90D9C" w:rsidRDefault="007C5F7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7C5F7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 address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A90D9C" w:rsidRDefault="007C5F7C" w:rsidP="00FF3148">
            <w:pPr>
              <w:pStyle w:val="TableText"/>
              <w:jc w:val="center"/>
              <w:rPr>
                <w:rStyle w:val="AnswerGray"/>
              </w:rPr>
            </w:pPr>
            <w:r w:rsidRPr="00A90D9C">
              <w:rPr>
                <w:rStyle w:val="AnswerGray"/>
              </w:rPr>
              <w:t>Yes</w:t>
            </w:r>
          </w:p>
        </w:tc>
        <w:tc>
          <w:tcPr>
            <w:tcW w:w="1800" w:type="dxa"/>
            <w:vAlign w:val="bottom"/>
          </w:tcPr>
          <w:p w:rsidR="004B0C87" w:rsidRPr="001B045A" w:rsidRDefault="007C5F7C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Host address</w:t>
            </w:r>
          </w:p>
        </w:tc>
      </w:tr>
    </w:tbl>
    <w:p w:rsidR="00853418" w:rsidRDefault="00024EE5" w:rsidP="00024EE5">
      <w:pPr>
        <w:pStyle w:val="LabSection"/>
      </w:pPr>
      <w:r>
        <w:t>Reflection</w:t>
      </w:r>
    </w:p>
    <w:p w:rsidR="00024EE5" w:rsidRDefault="00E60CB0" w:rsidP="00B25CFC">
      <w:pPr>
        <w:pStyle w:val="BodyTextL25"/>
      </w:pPr>
      <w:r>
        <w:t xml:space="preserve">Why should we continue to study and learn about IPv4 addressing </w:t>
      </w:r>
      <w:r w:rsidR="00CE1DE5">
        <w:t>if</w:t>
      </w:r>
      <w:r>
        <w:t xml:space="preserve"> the </w:t>
      </w:r>
      <w:r w:rsidR="00CE1DE5">
        <w:t xml:space="preserve">available IPv4 </w:t>
      </w:r>
      <w:r>
        <w:t>address space is depleted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FB3EE6" w:rsidRDefault="00FB3EE6" w:rsidP="001772B8">
      <w:pPr>
        <w:pStyle w:val="BodyTextL25"/>
      </w:pPr>
      <w:r>
        <w:t>_______________________________________________________________________________________</w:t>
      </w:r>
    </w:p>
    <w:p w:rsidR="007A3B2A" w:rsidRPr="007A3B2A" w:rsidRDefault="00E60CB0" w:rsidP="005E56BF">
      <w:pPr>
        <w:pStyle w:val="BodyTextL25"/>
      </w:pPr>
      <w:r>
        <w:rPr>
          <w:rStyle w:val="AnswerGray"/>
        </w:rPr>
        <w:t>Many organizations will continue to use the private IPv4 address space for their internal networking needs. The public IPv4 addresses will be used for many years to come</w:t>
      </w:r>
      <w:r w:rsidR="00024EE5" w:rsidRPr="00596998">
        <w:rPr>
          <w:rStyle w:val="AnswerGray"/>
        </w:rPr>
        <w:t>.</w:t>
      </w:r>
    </w:p>
    <w:sectPr w:rsidR="007A3B2A" w:rsidRPr="007A3B2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18" w:rsidRDefault="00182F18" w:rsidP="0090659A">
      <w:pPr>
        <w:spacing w:after="0" w:line="240" w:lineRule="auto"/>
      </w:pPr>
      <w:r>
        <w:separator/>
      </w:r>
    </w:p>
    <w:p w:rsidR="00182F18" w:rsidRDefault="00182F18"/>
    <w:p w:rsidR="00182F18" w:rsidRDefault="00182F18"/>
    <w:p w:rsidR="00182F18" w:rsidRDefault="00182F18"/>
    <w:p w:rsidR="00182F18" w:rsidRDefault="00182F18"/>
  </w:endnote>
  <w:endnote w:type="continuationSeparator" w:id="0">
    <w:p w:rsidR="00182F18" w:rsidRDefault="00182F18" w:rsidP="0090659A">
      <w:pPr>
        <w:spacing w:after="0" w:line="240" w:lineRule="auto"/>
      </w:pPr>
      <w:r>
        <w:continuationSeparator/>
      </w:r>
    </w:p>
    <w:p w:rsidR="00182F18" w:rsidRDefault="00182F18"/>
    <w:p w:rsidR="00182F18" w:rsidRDefault="00182F18"/>
    <w:p w:rsidR="00182F18" w:rsidRDefault="00182F18"/>
    <w:p w:rsidR="00182F18" w:rsidRDefault="00182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2BF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2BF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2B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2B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18" w:rsidRDefault="00182F18" w:rsidP="0090659A">
      <w:pPr>
        <w:spacing w:after="0" w:line="240" w:lineRule="auto"/>
      </w:pPr>
      <w:r>
        <w:separator/>
      </w:r>
    </w:p>
    <w:p w:rsidR="00182F18" w:rsidRDefault="00182F18"/>
    <w:p w:rsidR="00182F18" w:rsidRDefault="00182F18"/>
    <w:p w:rsidR="00182F18" w:rsidRDefault="00182F18"/>
    <w:p w:rsidR="00182F18" w:rsidRDefault="00182F18"/>
  </w:footnote>
  <w:footnote w:type="continuationSeparator" w:id="0">
    <w:p w:rsidR="00182F18" w:rsidRDefault="00182F18" w:rsidP="0090659A">
      <w:pPr>
        <w:spacing w:after="0" w:line="240" w:lineRule="auto"/>
      </w:pPr>
      <w:r>
        <w:continuationSeparator/>
      </w:r>
    </w:p>
    <w:p w:rsidR="00182F18" w:rsidRDefault="00182F18"/>
    <w:p w:rsidR="00182F18" w:rsidRDefault="00182F18"/>
    <w:p w:rsidR="00182F18" w:rsidRDefault="00182F18"/>
    <w:p w:rsidR="00182F18" w:rsidRDefault="00182F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F2CC8" w:rsidP="00C52BA6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B2BF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1D9E"/>
    <w:rsid w:val="001C7C3B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102D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54BA8"/>
    <w:rsid w:val="00F604DC"/>
    <w:rsid w:val="00F60BE0"/>
    <w:rsid w:val="00F6280E"/>
    <w:rsid w:val="00F67434"/>
    <w:rsid w:val="00F7050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DD511-A5F2-4E29-B47A-D894BBFF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2013-05-21T20:24:00Z</dcterms:created>
  <dcterms:modified xsi:type="dcterms:W3CDTF">2013-05-21T20:24:00Z</dcterms:modified>
</cp:coreProperties>
</file>