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Executive IT Audit Report</w:t>
      </w:r>
    </w:p>
    <w:p>
      <w:r>
        <w:t>Maple Trust Bank | Fictional Canadian financial institution</w:t>
        <w:br/>
        <w:t>Simulated review period: January 1 – June 30, 2026</w:t>
        <w:br/>
        <w:t>Framework: ISO/IEC 27002:2022 guidance and fictional internal bank policies</w:t>
      </w:r>
    </w:p>
    <w:p>
      <w:r>
        <w:t>PORTFOLIO SIMULATION — FORMAL OPINION FORMAT / DISCLAIMER OF OPINION</w:t>
      </w:r>
    </w:p>
    <w:p>
      <w:pPr>
        <w:pStyle w:val="Heading1"/>
      </w:pPr>
      <w:r>
        <w:t>1. Executive summary</w:t>
      </w:r>
    </w:p>
    <w:p>
      <w:r>
        <w:t>This educational portfolio demonstrates risk-based IT audit planning, development of 16 risk/control matrix entries, preliminary evaluation of fictional evidence and the preparation of an AC-01 user-provisioning workpaper. It does not represent an actual engagement, independently tested evidence, or assurance over a real financial institution.</w:t>
      </w:r>
    </w:p>
    <w:p>
      <w:r>
        <w:t>The most developed exception scenario concerns AC-02 user termination: two of 15 simulated terminations were disabled after their effective termination times, with no approved exceptions in the scenario. These are classified as confirmed exceptions only within the simulated sample; no full-scope control effectiveness conclusion can be drawn. Other areas contain preliminary observations requiring corroboration.</w:t>
      </w:r>
    </w:p>
    <w:p>
      <w:pPr>
        <w:pStyle w:val="Heading1"/>
      </w:pPr>
      <w:r>
        <w:t>2. Scope and criteria</w:t>
      </w:r>
    </w:p>
    <w:p>
      <w:r>
        <w:t>Four areas: Access Management (AC-01–AC-04), Change Management (CM-01–CM-04), IT Operations (OP-01–OP-04), and Supplier &amp; Application Security (SA-01–SA-04). ISO/IEC 27002:2022 is a source of security control guidance, not an audit certification or a mandatory bank-specific legal standard. Specific deadlines and workflows described in RCMs are fictional internal policies.</w:t>
      </w:r>
    </w:p>
    <w:p>
      <w:pPr>
        <w:pStyle w:val="Heading1"/>
      </w:pPr>
      <w:r>
        <w:t>3. Evidence and coverage status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Documentation</w:t>
            </w:r>
          </w:p>
        </w:tc>
        <w:tc>
          <w:tcPr>
            <w:tcW w:type="dxa" w:w="2880"/>
          </w:tcPr>
          <w:p>
            <w:r>
              <w:t>Assurance status</w:t>
            </w:r>
          </w:p>
        </w:tc>
      </w:tr>
      <w:tr>
        <w:tc>
          <w:tcPr>
            <w:tcW w:type="dxa" w:w="2880"/>
          </w:tcPr>
          <w:p>
            <w:r>
              <w:t>Access</w:t>
            </w:r>
          </w:p>
        </w:tc>
        <w:tc>
          <w:tcPr>
            <w:tcW w:type="dxa" w:w="2880"/>
          </w:tcPr>
          <w:p>
            <w:r>
              <w:t>RCM; AC-01 workpaper; simulated AC-02 sample records</w:t>
            </w:r>
          </w:p>
        </w:tc>
        <w:tc>
          <w:tcPr>
            <w:tcW w:type="dxa" w:w="2880"/>
          </w:tcPr>
          <w:p>
            <w:r>
              <w:t>AC-01 inconclusive; AC-02 2 confirmed simulated sample exceptions; no area-wide opinion</w:t>
            </w:r>
          </w:p>
        </w:tc>
      </w:tr>
      <w:tr>
        <w:tc>
          <w:tcPr>
            <w:tcW w:type="dxa" w:w="2880"/>
          </w:tcPr>
          <w:p>
            <w:r>
              <w:t>Change</w:t>
            </w:r>
          </w:p>
        </w:tc>
        <w:tc>
          <w:tcPr>
            <w:tcW w:type="dxa" w:w="2880"/>
          </w:tcPr>
          <w:p>
            <w:r>
              <w:t>RCM, evidence excerpts, exception tracker</w:t>
            </w:r>
          </w:p>
        </w:tc>
        <w:tc>
          <w:tcPr>
            <w:tcW w:type="dxa" w:w="2880"/>
          </w:tcPr>
          <w:p>
            <w:r>
              <w:t>Potential exceptions only; full testing not performed</w:t>
            </w:r>
          </w:p>
        </w:tc>
      </w:tr>
      <w:tr>
        <w:tc>
          <w:tcPr>
            <w:tcW w:type="dxa" w:w="2880"/>
          </w:tcPr>
          <w:p>
            <w:r>
              <w:t>IT Operations</w:t>
            </w:r>
          </w:p>
        </w:tc>
        <w:tc>
          <w:tcPr>
            <w:tcW w:type="dxa" w:w="2880"/>
          </w:tcPr>
          <w:p>
            <w:r>
              <w:t>RCM, evidence excerpts, exception tracker</w:t>
            </w:r>
          </w:p>
        </w:tc>
        <w:tc>
          <w:tcPr>
            <w:tcW w:type="dxa" w:w="2880"/>
          </w:tcPr>
          <w:p>
            <w:r>
              <w:t>Potential exceptions only; full testing not performed</w:t>
            </w:r>
          </w:p>
        </w:tc>
      </w:tr>
      <w:tr>
        <w:tc>
          <w:tcPr>
            <w:tcW w:type="dxa" w:w="2880"/>
          </w:tcPr>
          <w:p>
            <w:r>
              <w:t>Supplier &amp; Application</w:t>
            </w:r>
          </w:p>
        </w:tc>
        <w:tc>
          <w:tcPr>
            <w:tcW w:type="dxa" w:w="2880"/>
          </w:tcPr>
          <w:p>
            <w:r>
              <w:t>RCM, evidence excerpts, exception tracker</w:t>
            </w:r>
          </w:p>
        </w:tc>
        <w:tc>
          <w:tcPr>
            <w:tcW w:type="dxa" w:w="2880"/>
          </w:tcPr>
          <w:p>
            <w:r>
              <w:t>Potential exceptions only; full testing not performed</w:t>
            </w:r>
          </w:p>
        </w:tc>
      </w:tr>
    </w:tbl>
    <w:p>
      <w:pPr>
        <w:pStyle w:val="Heading1"/>
      </w:pPr>
      <w:r>
        <w:t>4. Significant observations and recommendations</w:t>
      </w:r>
    </w:p>
    <w:p>
      <w:pPr>
        <w:pStyle w:val="Heading2"/>
      </w:pPr>
      <w:r>
        <w:t>AC-02 — delayed termination disablement (simulated confirmed sample exceptions)</w:t>
      </w:r>
    </w:p>
    <w:p>
      <w:r>
        <w:t>Two of 15 sampled terminations were disabled late (E102 and E104). Assess post-termination access, all in-scope accounts, root cause and HR-to-IAM offboarding triggers. Recommend automated deprovisioning alerts, escalation and evidence of timely disablement.</w:t>
      </w:r>
    </w:p>
    <w:p>
      <w:pPr>
        <w:pStyle w:val="Heading2"/>
      </w:pPr>
      <w:r>
        <w:t>AC-01 — user provisioning approval timing (potential)</w:t>
      </w:r>
    </w:p>
    <w:p>
      <w:r>
        <w:t>Three of 15 sample positions flagged; U002 and U004 have approval timestamps after AD creation; third lacks traceable details. Verify actual access enablement, earlier authorization and the remaining 12 individual records. Do not treat creation as proof of usable access.</w:t>
      </w:r>
    </w:p>
    <w:p>
      <w:pPr>
        <w:pStyle w:val="Heading2"/>
      </w:pPr>
      <w:r>
        <w:t>CM-01–CM-04 — change governance (potential)</w:t>
      </w:r>
    </w:p>
    <w:p>
      <w:r>
        <w:t>Illustrative missing/late approvals, testing gaps, role conflicts and emergency review gaps. Validate historical ServiceNow approval trails, deployments, UAT evidence, segregation and emergency review deadlines.</w:t>
      </w:r>
    </w:p>
    <w:p>
      <w:pPr>
        <w:pStyle w:val="Heading2"/>
      </w:pPr>
      <w:r>
        <w:t>OP-01–OP-04 — operations resilience (potential)</w:t>
      </w:r>
    </w:p>
    <w:p>
      <w:r>
        <w:t>Illustrative overdue critical remediation, delayed alert investigation, undocumented backup failure and missed recovery time objective. Validate populations, policies, clock/timing evidence, exceptions and recovery completeness.</w:t>
      </w:r>
    </w:p>
    <w:p>
      <w:pPr>
        <w:pStyle w:val="Heading2"/>
      </w:pPr>
      <w:r>
        <w:t>SA-01–SA-04 — supplier and application controls (potential)</w:t>
      </w:r>
    </w:p>
    <w:p>
      <w:r>
        <w:t>Illustrative late supplier assessment, uncertain review due dates, missing development evidence and unresolved critical release risk. Validate due dates, Git/pipeline records, risk exceptions and supplier agreements.</w:t>
      </w:r>
    </w:p>
    <w:p>
      <w:pPr>
        <w:pStyle w:val="Heading1"/>
      </w:pPr>
      <w:r>
        <w:t>5. Consolidated observations</w:t>
      </w:r>
    </w:p>
    <w:p>
      <w:r>
        <w:t>The companion Consolidated_Findings_Register.xlsx contains 21 grouped observations: 4 Access, 6 Change, 4 IT Operations and 7 Supplier/Application. One grouped Access observation contains two simulated confirmed sample exceptions; the other grouped observations remain potential. Risk priorities are illustrative and should not be interpreted as formal audit ratings.</w:t>
      </w:r>
    </w:p>
    <w:p>
      <w:pPr>
        <w:pStyle w:val="Heading1"/>
      </w:pPr>
      <w:r>
        <w:t>6. Limitations and conclusion</w:t>
      </w:r>
    </w:p>
    <w:p>
      <w:pPr>
        <w:pStyle w:val="ListBullet"/>
      </w:pPr>
      <w:r>
        <w:t>No actual bank records, interviews, approvals, logs or systems were accessed; all evidence is invented for educational purposes.</w:t>
      </w:r>
    </w:p>
    <w:p>
      <w:pPr>
        <w:pStyle w:val="ListBullet"/>
      </w:pPr>
      <w:r>
        <w:t>The completeness of user, change, vulnerability, alert, backup, supplier and release populations was not independently verified.</w:t>
      </w:r>
    </w:p>
    <w:p>
      <w:pPr>
        <w:pStyle w:val="ListBullet"/>
      </w:pPr>
      <w:r>
        <w:t>Sampling rationale and evidence provenance are incomplete; the AC-01 workpaper is explicitly inconclusive, and the other 15 controls lack completed detailed workpapers.</w:t>
      </w:r>
    </w:p>
    <w:p>
      <w:pPr>
        <w:pStyle w:val="ListBullet"/>
      </w:pPr>
      <w:r>
        <w:t>There is no independent management response, issue validation, audit review sign-off, remediation verification or bank-approved risk-rating methodology.</w:t>
      </w:r>
    </w:p>
    <w:p>
      <w:pPr>
        <w:pStyle w:val="ListBullet"/>
      </w:pPr>
      <w:r>
        <w:t>Consequently, an opinion on the overall design and operating effectiveness of the 16 controls cannot be expressed. See the formal simulated opinion in Section 6A.</w:t>
      </w:r>
    </w:p>
    <w:p>
      <w:r>
        <w:t>Portfolio conclusion: The project demonstrates the structure and judgment of a risk-based IT audit, including careful differentiation between simulated confirmed sample exceptions, potential observations and untested controls. The formal simulated opinion is a disclaimer, not an adverse or qualified effectiveness opinion.</w:t>
      </w:r>
    </w:p>
    <w:p>
      <w:pPr>
        <w:pStyle w:val="Heading1"/>
      </w:pPr>
      <w:r>
        <w:t>6A. Formal simulated audit opinion — disclaimer of opinion</w:t>
      </w:r>
    </w:p>
    <w:p>
      <w:pPr/>
      <w:r>
        <w:t>Opinion subject: Design and operating effectiveness of the 16 scoped ITGC and supporting security controls at fictional Maple Trust Bank for January 1–June 30, 2026.</w:t>
      </w:r>
    </w:p>
    <w:p>
      <w:pPr/>
      <w:r>
        <w:t>Disclaimer of opinion: We do not express an audit opinion on whether the scoped controls were suitably designed or operated effectively throughout the review period. Sufficient appropriate audit evidence was not obtained to support an overall effectiveness conclusion. In particular, complete populations were not validated, detailed workpapers were completed only for AC-01 (with an inconclusive result), and the remaining controls were not subjected to sufficient documented operating-effectiveness testing. All underlying records are simulated rather than evidence from an actual institution.</w:t>
      </w:r>
    </w:p>
    <w:p>
      <w:pPr/>
      <w:r>
        <w:t>Basis for disclaimer: The fictional AC-02 scenario contains two confirmed late account-disablement sample exceptions out of 15 sampled terminations. Other issues remain preliminary or unsubstantiated. These observations identify areas requiring management investigation but cannot be extrapolated to the entire control environment. The extent of unperformed testing is pervasive to the proposed overall opinion.</w:t>
      </w:r>
    </w:p>
    <w:p>
      <w:pPr/>
      <w:r>
        <w:t>Responsibilities and limitations: This is a student portfolio illustration of an audit reporting format. No independent audit engagement was performed; no real bank management representations, evidence, supervisory review or audit sign-off were obtained. The disclaimer is not an attestation report, certification, or assurance conclusion issued by a licensed or independent audit firm.</w:t>
      </w:r>
    </w:p>
    <w:p>
      <w:pPr/>
      <w:r>
        <w:t>Recommended next steps: Obtain reliable complete populations and source evidence, complete risk-based testing, resolve exceptions, assess severity and remediation, and subject the results to independent review before expressing an effectiveness opinion.</w:t>
      </w:r>
    </w:p>
    <w:p>
      <w:pPr>
        <w:pStyle w:val="Heading1"/>
      </w:pPr>
      <w:r>
        <w:t>7. Source deliverables</w:t>
      </w:r>
    </w:p>
    <w:p>
      <w:r>
        <w:t>Four RCM Excel workbooks; AC-01 User Provisioning Workpaper; Consolidated Findings Register; this Executive Report; and GitHub README. All files must be labelled as simulated.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SIMULATED EDUCATIONAL PORTFOLIO  •  NOT A REAL BANK AUDIT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MAPLE TRUST BANK  |  IT AUDIT PORTFOLIO SIMULATION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24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