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456598586"/>
      <w:bookmarkStart w:id="7" w:name="_Toc464735236"/>
      <w:bookmarkStart w:id="8" w:name="_Toc518865254"/>
      <w:bookmarkStart w:id="9" w:name="_Toc70241048"/>
      <w:r w:rsidRPr="004B3631">
        <w:lastRenderedPageBreak/>
        <w:t>Introduction</w:t>
      </w:r>
      <w:bookmarkEnd w:id="9"/>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35A007C4" w14:textId="39AA9EF2" w:rsidR="0021113B" w:rsidRDefault="006478BF" w:rsidP="009133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78BA9FDD" w14:textId="3A4A3F52" w:rsidR="005807F7" w:rsidRDefault="00581012" w:rsidP="00652E82">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4D6BED9A" w14:textId="77777777" w:rsidR="005807F7" w:rsidRDefault="005807F7">
      <w:pPr>
        <w:spacing w:before="0" w:after="0"/>
      </w:pPr>
      <w:r>
        <w:br w:type="page"/>
      </w:r>
    </w:p>
    <w:p w14:paraId="5737350A" w14:textId="23D64B98" w:rsidR="0021239A" w:rsidRDefault="0021239A" w:rsidP="0021239A">
      <w:pPr>
        <w:pStyle w:val="MyH2"/>
        <w:outlineLvl w:val="9"/>
      </w:pPr>
      <w:bookmarkStart w:id="16" w:name="_Toc70241052"/>
      <w:r>
        <w:lastRenderedPageBreak/>
        <w:t>Process Model</w:t>
      </w:r>
      <w:bookmarkEnd w:id="16"/>
    </w:p>
    <w:p w14:paraId="0E1140D1" w14:textId="33299810" w:rsidR="00D55A44" w:rsidRDefault="00763579" w:rsidP="009525A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B9E6418" w:rsidR="003A08C8" w:rsidRDefault="00735065" w:rsidP="003A08C8">
      <w:pPr>
        <w:jc w:val="both"/>
      </w:pPr>
      <w:r>
        <w:t xml:space="preserve">SCM will follow MVC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w:t>
      </w:r>
      <w:r w:rsidR="0085098D">
        <w:t xml:space="preserve">REST </w:t>
      </w:r>
      <w:r w:rsidR="00741CA7">
        <w:t>principles will be followed while making APIs.</w:t>
      </w:r>
      <w:r w:rsidR="003A08C8">
        <w:t xml:space="preserve"> Following is the picture showing the working of Smart Construction Manager Backend.</w:t>
      </w:r>
    </w:p>
    <w:p w14:paraId="33551B4B" w14:textId="77777777" w:rsidR="00A1668B" w:rsidRDefault="00A1668B" w:rsidP="00A1668B">
      <w:pPr>
        <w:keepNext/>
        <w:jc w:val="center"/>
      </w:pPr>
      <w:r>
        <w:rPr>
          <w:noProof/>
          <w:lang w:eastAsia="ar-SA"/>
        </w:rPr>
        <w:drawing>
          <wp:inline distT="0" distB="0" distL="0" distR="0" wp14:anchorId="711B81E6" wp14:editId="184D4952">
            <wp:extent cx="4996114"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13">
                      <a:extLst>
                        <a:ext uri="{28A0092B-C50C-407E-A947-70E740481C1C}">
                          <a14:useLocalDpi xmlns:a14="http://schemas.microsoft.com/office/drawing/2010/main" val="0"/>
                        </a:ext>
                      </a:extLst>
                    </a:blip>
                    <a:stretch>
                      <a:fillRect/>
                    </a:stretch>
                  </pic:blipFill>
                  <pic:spPr>
                    <a:xfrm>
                      <a:off x="0" y="0"/>
                      <a:ext cx="5063682" cy="3004268"/>
                    </a:xfrm>
                    <a:prstGeom prst="rect">
                      <a:avLst/>
                    </a:prstGeom>
                  </pic:spPr>
                </pic:pic>
              </a:graphicData>
            </a:graphic>
          </wp:inline>
        </w:drawing>
      </w:r>
    </w:p>
    <w:p w14:paraId="3E11B82B" w14:textId="7440F45B" w:rsidR="00CE14E9" w:rsidRDefault="00A1668B" w:rsidP="00A1668B">
      <w:pPr>
        <w:pStyle w:val="Caption"/>
        <w:rPr>
          <w:lang w:eastAsia="ar-SA"/>
        </w:rPr>
      </w:pPr>
      <w:r>
        <w:t xml:space="preserve">Figure </w:t>
      </w:r>
      <w:fldSimple w:instr=" SEQ Figure \* ARABIC ">
        <w:r>
          <w:rPr>
            <w:noProof/>
          </w:rPr>
          <w:t>1</w:t>
        </w:r>
      </w:fldSimple>
      <w:r>
        <w:t>: Architectural Design of SCM</w:t>
      </w:r>
    </w:p>
    <w:p w14:paraId="6612C267" w14:textId="51415298" w:rsidR="00CE14E9" w:rsidRDefault="00CE14E9" w:rsidP="00CE14E9">
      <w:pPr>
        <w:pStyle w:val="Heading2"/>
      </w:pPr>
      <w:bookmarkStart w:id="19" w:name="_Toc70241055"/>
      <w:r>
        <w:lastRenderedPageBreak/>
        <w:t>Process Flow/Representation</w:t>
      </w:r>
      <w:bookmarkEnd w:id="19"/>
    </w:p>
    <w:p w14:paraId="520A7CE4" w14:textId="77777777" w:rsidR="00320AF0" w:rsidRPr="00320AF0" w:rsidRDefault="00320AF0" w:rsidP="00320AF0">
      <w:pPr>
        <w:rPr>
          <w:lang w:eastAsia="ar-SA"/>
        </w:rPr>
      </w:pPr>
      <w:bookmarkStart w:id="20" w:name="_GoBack"/>
      <w:bookmarkEnd w:id="20"/>
    </w:p>
    <w:p w14:paraId="4256E82E" w14:textId="49DBBD68" w:rsidR="00C51961" w:rsidRDefault="00C51961" w:rsidP="00CE14E9">
      <w:r w:rsidRPr="005D1ECC">
        <w:t>Provide a representation of the</w:t>
      </w:r>
      <w:r>
        <w:t xml:space="preserve"> flow of </w:t>
      </w:r>
      <w:r w:rsidRPr="00AE0AF7">
        <w:rPr>
          <w:b/>
          <w:u w:val="single"/>
        </w:rPr>
        <w:t>MAJOR processes</w:t>
      </w:r>
      <w:r>
        <w:t xml:space="preserve"> of your system in the form of an activity diagram. </w:t>
      </w:r>
      <w:r w:rsidRPr="00553D9B">
        <w:rPr>
          <w:b/>
        </w:rPr>
        <w:t>DO NOT CREATE ACTIVITY DIAGRAMS FOR LOGIN OR SIGN-UP</w:t>
      </w:r>
      <w:r>
        <w:rPr>
          <w:b/>
        </w:rPr>
        <w:t xml:space="preserve"> UNLESS THEY INVOLVE SIGNIFICANT COMPLEXITY</w:t>
      </w:r>
      <w:r>
        <w:t xml:space="preserve">. Include only the </w:t>
      </w:r>
      <w:r w:rsidRPr="005D1ECC">
        <w:rPr>
          <w:u w:val="single"/>
        </w:rPr>
        <w:t>major</w:t>
      </w:r>
      <w:r>
        <w:t xml:space="preserve"> processes.</w:t>
      </w:r>
    </w:p>
    <w:p w14:paraId="0DFE219D" w14:textId="77777777" w:rsidR="00C51961" w:rsidRDefault="00C51961">
      <w:r>
        <w:br w:type="page"/>
      </w:r>
    </w:p>
    <w:p w14:paraId="381A22DE" w14:textId="74F16B07" w:rsidR="00CE14E9" w:rsidRDefault="00CE14E9" w:rsidP="00CE14E9">
      <w:pPr>
        <w:pStyle w:val="Heading1"/>
      </w:pPr>
      <w:bookmarkStart w:id="21" w:name="_Toc70241056"/>
      <w:r>
        <w:lastRenderedPageBreak/>
        <w:t>Design Models</w:t>
      </w:r>
      <w:bookmarkEnd w:id="21"/>
    </w:p>
    <w:p w14:paraId="6D4B8960" w14:textId="77777777" w:rsidR="00C51961" w:rsidRDefault="00C51961" w:rsidP="00C51961">
      <w:pPr>
        <w:rPr>
          <w:b/>
        </w:rPr>
      </w:pPr>
      <w:r w:rsidRPr="004B2908">
        <w:rPr>
          <w:b/>
        </w:rPr>
        <w:t>The applicable models may include:</w:t>
      </w:r>
    </w:p>
    <w:p w14:paraId="05E22B61" w14:textId="77777777" w:rsidR="00C51961" w:rsidRPr="004B2908" w:rsidRDefault="00C51961" w:rsidP="00C51961">
      <w:pPr>
        <w:rPr>
          <w:b/>
        </w:rPr>
      </w:pPr>
    </w:p>
    <w:p w14:paraId="50A6D352" w14:textId="77777777" w:rsidR="00C51961" w:rsidRPr="004B2908" w:rsidRDefault="00C51961" w:rsidP="00A70C47">
      <w:pPr>
        <w:pStyle w:val="ListParagraph"/>
        <w:numPr>
          <w:ilvl w:val="0"/>
          <w:numId w:val="2"/>
        </w:numPr>
        <w:spacing w:after="200" w:line="276" w:lineRule="auto"/>
        <w:contextualSpacing/>
      </w:pPr>
      <w:r w:rsidRPr="004B2908">
        <w:t>Class Diagram</w:t>
      </w:r>
    </w:p>
    <w:p w14:paraId="2B05DBA3" w14:textId="77777777" w:rsidR="00C51961" w:rsidRPr="004B2908" w:rsidRDefault="00C51961" w:rsidP="00A70C47">
      <w:pPr>
        <w:pStyle w:val="ListParagraph"/>
        <w:numPr>
          <w:ilvl w:val="0"/>
          <w:numId w:val="2"/>
        </w:numPr>
        <w:spacing w:after="200" w:line="276" w:lineRule="auto"/>
        <w:contextualSpacing/>
      </w:pPr>
      <w:r w:rsidRPr="004B2908">
        <w:t>Sequence Diagram</w:t>
      </w:r>
    </w:p>
    <w:p w14:paraId="1AC7D6CE" w14:textId="77777777" w:rsidR="00C51961" w:rsidRPr="004B2908" w:rsidRDefault="00C51961" w:rsidP="00A70C47">
      <w:pPr>
        <w:pStyle w:val="ListParagraph"/>
        <w:numPr>
          <w:ilvl w:val="0"/>
          <w:numId w:val="2"/>
        </w:numPr>
        <w:spacing w:after="200" w:line="276" w:lineRule="auto"/>
        <w:contextualSpacing/>
      </w:pPr>
      <w:r w:rsidRPr="004B2908">
        <w:t>State Transition Diagram</w:t>
      </w:r>
    </w:p>
    <w:p w14:paraId="7F886776" w14:textId="77777777" w:rsidR="00C51961" w:rsidRPr="004B2908" w:rsidRDefault="00C51961" w:rsidP="00A70C47">
      <w:pPr>
        <w:pStyle w:val="ListParagraph"/>
        <w:numPr>
          <w:ilvl w:val="0"/>
          <w:numId w:val="2"/>
        </w:numPr>
        <w:spacing w:after="200" w:line="276" w:lineRule="auto"/>
        <w:contextualSpacing/>
      </w:pPr>
      <w:r w:rsidRPr="004B2908">
        <w:t>Data Flow Diagram</w:t>
      </w:r>
    </w:p>
    <w:p w14:paraId="2EF616C6" w14:textId="77777777" w:rsidR="00C51961" w:rsidRPr="004B2908" w:rsidRDefault="00C51961" w:rsidP="00A70C47">
      <w:pPr>
        <w:pStyle w:val="ListParagraph"/>
        <w:numPr>
          <w:ilvl w:val="0"/>
          <w:numId w:val="2"/>
        </w:numPr>
        <w:spacing w:after="200" w:line="276" w:lineRule="auto"/>
        <w:contextualSpacing/>
      </w:pPr>
      <w:r w:rsidRPr="004B2908">
        <w:t>Schematic diagram (Hardware projects only)</w:t>
      </w:r>
    </w:p>
    <w:p w14:paraId="31D47BFA" w14:textId="77777777" w:rsidR="00C51961" w:rsidRPr="004B2908" w:rsidRDefault="00C51961" w:rsidP="00A70C47">
      <w:pPr>
        <w:pStyle w:val="ListParagraph"/>
        <w:numPr>
          <w:ilvl w:val="0"/>
          <w:numId w:val="2"/>
        </w:numPr>
        <w:spacing w:after="200" w:line="276" w:lineRule="auto"/>
        <w:contextualSpacing/>
      </w:pPr>
      <w:r w:rsidRPr="004B2908">
        <w:t>Timing diagram (Hardware projects only)</w:t>
      </w:r>
    </w:p>
    <w:p w14:paraId="3FA4FBB0" w14:textId="77777777" w:rsidR="00C51961" w:rsidRDefault="00C51961" w:rsidP="00C51961">
      <w:pPr>
        <w:jc w:val="both"/>
      </w:pPr>
      <w:r w:rsidRPr="004B2908">
        <w:t xml:space="preserve">Insert </w:t>
      </w:r>
      <w:r w:rsidRPr="00346BEA">
        <w:rPr>
          <w:b/>
          <w:i/>
          <w:u w:val="single"/>
        </w:rPr>
        <w:t>applicable</w:t>
      </w:r>
      <w:r w:rsidRPr="004B2908">
        <w:t xml:space="preserve"> system models here. </w:t>
      </w:r>
    </w:p>
    <w:p w14:paraId="37586EEC" w14:textId="77777777" w:rsidR="00C51961" w:rsidRDefault="00C51961" w:rsidP="00C51961">
      <w:pPr>
        <w:jc w:val="both"/>
      </w:pPr>
    </w:p>
    <w:p w14:paraId="56A4215C" w14:textId="77777777" w:rsidR="00C51961" w:rsidRDefault="00C51961" w:rsidP="00C51961">
      <w:pPr>
        <w:jc w:val="both"/>
      </w:pPr>
      <w:r w:rsidRPr="004B2908">
        <w:t>You should be clear about all the concepts used in your diagrams</w:t>
      </w:r>
      <w:r>
        <w:t xml:space="preserve"> </w:t>
      </w:r>
      <w:r w:rsidRPr="004B2908">
        <w:t>for example for class diagram you should know about aggregation, composition, inheritance/generalization.  Also ensure visibility of</w:t>
      </w:r>
      <w:r>
        <w:t xml:space="preserve"> </w:t>
      </w:r>
      <w:r w:rsidRPr="004B2908">
        <w:t xml:space="preserve">all diagrams. </w:t>
      </w:r>
    </w:p>
    <w:p w14:paraId="71A0A727" w14:textId="77777777" w:rsidR="00C51961" w:rsidRPr="004B2908" w:rsidRDefault="00C51961" w:rsidP="00C51961">
      <w:pPr>
        <w:jc w:val="both"/>
        <w:rPr>
          <w:i/>
        </w:rPr>
      </w:pPr>
    </w:p>
    <w:p w14:paraId="3B39701D" w14:textId="77777777" w:rsidR="00C51961" w:rsidRDefault="00C51961" w:rsidP="00C51961">
      <w:pPr>
        <w:jc w:val="both"/>
      </w:pPr>
      <w:r w:rsidRPr="004B2908">
        <w:t xml:space="preserve">Class diagram and associated models shall only be necessary for </w:t>
      </w:r>
      <w:proofErr w:type="gramStart"/>
      <w:r w:rsidRPr="004B2908">
        <w:t>object oriented</w:t>
      </w:r>
      <w:proofErr w:type="gramEnd"/>
      <w:r w:rsidRPr="004B2908">
        <w:t xml:space="preserve"> approach. In case of procedural, create a DFD. Data flow diagram should be extended to 2-3 levels. It should clearly list all processes, their sources/sinks and data stores.</w:t>
      </w:r>
    </w:p>
    <w:p w14:paraId="258EE692" w14:textId="77777777" w:rsidR="00C51961" w:rsidRPr="004B2908" w:rsidRDefault="00C51961" w:rsidP="00C51961">
      <w:pPr>
        <w:jc w:val="both"/>
      </w:pPr>
    </w:p>
    <w:p w14:paraId="7630474D" w14:textId="77777777" w:rsidR="00C51961" w:rsidRDefault="00C51961" w:rsidP="00C51961">
      <w:pPr>
        <w:jc w:val="both"/>
        <w:rPr>
          <w:b/>
        </w:rPr>
      </w:pPr>
      <w:r w:rsidRPr="004B2908">
        <w:rPr>
          <w:b/>
        </w:rPr>
        <w:t>Note: System design should be complete in all aspects. Create any/all diagrams if you need to. A DFD can also be supplemented by a State Transition Diagram depending on the nature of the project.</w:t>
      </w:r>
    </w:p>
    <w:p w14:paraId="352C5421" w14:textId="77777777" w:rsidR="00C51961" w:rsidRPr="004B2908" w:rsidRDefault="00C51961" w:rsidP="00C51961">
      <w:pPr>
        <w:jc w:val="both"/>
        <w:rPr>
          <w:b/>
        </w:rPr>
      </w:pPr>
    </w:p>
    <w:p w14:paraId="6CA3D26B" w14:textId="7415F3CD" w:rsidR="00C51961" w:rsidRDefault="00C51961" w:rsidP="00C51961">
      <w:pPr>
        <w:rPr>
          <w:b/>
        </w:rPr>
      </w:pPr>
      <w:r w:rsidRPr="004B2908">
        <w:rPr>
          <w:b/>
        </w:rPr>
        <w:t>Hardware projects can include Schematic diagram, System block diagram, timing diagram, Flow charts as replacement of sequence diagram/ Data flow diagram AFTER CONSULTATION WITH THEIR SUPERVISORS. Choice of models must be properly justified.</w:t>
      </w:r>
    </w:p>
    <w:p w14:paraId="09370719" w14:textId="77777777" w:rsidR="00C51961" w:rsidRDefault="00C51961">
      <w:pPr>
        <w:rPr>
          <w:b/>
        </w:rPr>
      </w:pPr>
      <w:r>
        <w:rPr>
          <w:b/>
        </w:rPr>
        <w:br w:type="page"/>
      </w:r>
    </w:p>
    <w:p w14:paraId="2D20B9BE" w14:textId="645F8C1E" w:rsidR="00CE14E9" w:rsidRDefault="00CE14E9" w:rsidP="00CE14E9">
      <w:pPr>
        <w:pStyle w:val="Heading1"/>
      </w:pPr>
      <w:bookmarkStart w:id="22" w:name="_Toc70241057"/>
      <w:r>
        <w:lastRenderedPageBreak/>
        <w:t>Data Design</w:t>
      </w:r>
      <w:bookmarkEnd w:id="22"/>
    </w:p>
    <w:p w14:paraId="0A702297" w14:textId="77777777" w:rsidR="00C51961" w:rsidRPr="004B2908" w:rsidRDefault="00C51961" w:rsidP="00C51961">
      <w:pPr>
        <w:jc w:val="both"/>
      </w:pPr>
      <w:r w:rsidRPr="004B2908">
        <w:t xml:space="preserve">Explain how the information domain of your system is transformed into data structures. Describe how the major data or system entities are stored, processed and organized. </w:t>
      </w:r>
    </w:p>
    <w:p w14:paraId="0AEBAF02" w14:textId="77777777" w:rsidR="00C51961" w:rsidRDefault="00C51961" w:rsidP="00C51961">
      <w:pPr>
        <w:jc w:val="both"/>
      </w:pPr>
    </w:p>
    <w:p w14:paraId="408F54BB" w14:textId="06A9676B" w:rsidR="00CE14E9" w:rsidRDefault="00C51961" w:rsidP="00C51961">
      <w:pPr>
        <w:jc w:val="both"/>
      </w:pPr>
      <w:r>
        <w:t>List any </w:t>
      </w:r>
      <w:r w:rsidRPr="004B2908">
        <w:t xml:space="preserve">databases or data storage items. </w:t>
      </w:r>
    </w:p>
    <w:p w14:paraId="39AA1D95" w14:textId="5809052D" w:rsidR="00CE14E9" w:rsidRDefault="00CE14E9" w:rsidP="00CE14E9">
      <w:pPr>
        <w:pStyle w:val="Heading2"/>
      </w:pPr>
      <w:bookmarkStart w:id="23" w:name="_Toc70241058"/>
      <w:r>
        <w:t>Data Dictionary</w:t>
      </w:r>
      <w:bookmarkEnd w:id="23"/>
    </w:p>
    <w:p w14:paraId="6D186EA7" w14:textId="2F7A207E" w:rsidR="00C51961" w:rsidRDefault="00C51961" w:rsidP="00CE14E9">
      <w:r w:rsidRPr="004B2908">
        <w:t>Alphabetically list the system entities or major data along with their types and descriptions. If you provided</w:t>
      </w:r>
      <w:r>
        <w:t> </w:t>
      </w:r>
      <w:r w:rsidRPr="004B2908">
        <w:t>a functional description, list all the functions and function parameters.</w:t>
      </w:r>
      <w:r>
        <w:t xml:space="preserve"> </w:t>
      </w:r>
      <w:r w:rsidRPr="004B2908">
        <w:t>If you provided an OO description, list the objects and its attributes, methods and method parameters.</w:t>
      </w:r>
    </w:p>
    <w:p w14:paraId="7B3D5265" w14:textId="77777777" w:rsidR="00C51961" w:rsidRDefault="00C51961">
      <w:r>
        <w:br w:type="page"/>
      </w:r>
    </w:p>
    <w:p w14:paraId="608BC5A7" w14:textId="2FC7B996" w:rsidR="00CE14E9" w:rsidRDefault="00CE14E9" w:rsidP="00CE14E9">
      <w:pPr>
        <w:pStyle w:val="Heading1"/>
      </w:pPr>
      <w:bookmarkStart w:id="24" w:name="_Toc70241059"/>
      <w:r>
        <w:lastRenderedPageBreak/>
        <w:t>Algorithm and Implementation</w:t>
      </w:r>
      <w:bookmarkEnd w:id="24"/>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5" w:name="_Toc70241060"/>
      <w:r>
        <w:lastRenderedPageBreak/>
        <w:t>Software Requirement Traceability Matrix</w:t>
      </w:r>
      <w:bookmarkEnd w:id="25"/>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r w:rsidR="00C51961" w:rsidRPr="000A655B" w14:paraId="71D381CE" w14:textId="77777777" w:rsidTr="00C87539">
        <w:tc>
          <w:tcPr>
            <w:tcW w:w="9495" w:type="dxa"/>
            <w:gridSpan w:val="4"/>
          </w:tcPr>
          <w:p w14:paraId="12D433CA" w14:textId="77777777" w:rsidR="00C51961" w:rsidRPr="008E12CC" w:rsidRDefault="00C51961" w:rsidP="00C87539">
            <w:pPr>
              <w:pStyle w:val="BodyText"/>
              <w:jc w:val="center"/>
              <w:rPr>
                <w:rFonts w:ascii="Times New Roman" w:hAnsi="Times New Roman"/>
              </w:rPr>
            </w:pPr>
            <w:r w:rsidRPr="008E12CC">
              <w:rPr>
                <w:rFonts w:ascii="Times New Roman" w:hAnsi="Times New Roman"/>
              </w:rPr>
              <w:t>OR</w:t>
            </w:r>
          </w:p>
        </w:tc>
      </w:tr>
      <w:tr w:rsidR="00C51961" w:rsidRPr="000A655B" w14:paraId="2DF9AF3F" w14:textId="77777777" w:rsidTr="00C87539">
        <w:tc>
          <w:tcPr>
            <w:tcW w:w="1800" w:type="dxa"/>
          </w:tcPr>
          <w:p w14:paraId="5A27A93B"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3E941DC4" w14:textId="77777777" w:rsidR="00C51961" w:rsidRPr="008E12CC" w:rsidRDefault="00C51961" w:rsidP="00C87539">
            <w:pPr>
              <w:pStyle w:val="BodyText"/>
              <w:rPr>
                <w:rFonts w:ascii="Times New Roman" w:hAnsi="Times New Roman"/>
              </w:rPr>
            </w:pPr>
            <w:r w:rsidRPr="008E12CC">
              <w:rPr>
                <w:rFonts w:ascii="Times New Roman" w:hAnsi="Times New Roman"/>
              </w:rPr>
              <w:t xml:space="preserve">DFD </w:t>
            </w:r>
          </w:p>
        </w:tc>
        <w:tc>
          <w:tcPr>
            <w:tcW w:w="2880" w:type="dxa"/>
          </w:tcPr>
          <w:p w14:paraId="5346C02B"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DiagramNumber</w:t>
            </w:r>
            <w:proofErr w:type="spellEnd"/>
            <w:r w:rsidRPr="008E12CC">
              <w:rPr>
                <w:rFonts w:ascii="Times New Roman" w:hAnsi="Times New Roman"/>
              </w:rPr>
              <w:t>/Level</w:t>
            </w:r>
          </w:p>
        </w:tc>
        <w:tc>
          <w:tcPr>
            <w:tcW w:w="2835" w:type="dxa"/>
          </w:tcPr>
          <w:p w14:paraId="5C4714E6"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0E92C331" w14:textId="360D77FD" w:rsidR="00CE14E9" w:rsidRDefault="00CE14E9" w:rsidP="00CE14E9">
      <w:pPr>
        <w:pStyle w:val="Heading1"/>
      </w:pPr>
      <w:bookmarkStart w:id="29" w:name="_Toc70241064"/>
      <w:r>
        <w:lastRenderedPageBreak/>
        <w:t>Appendix I</w:t>
      </w:r>
      <w:bookmarkEnd w:id="4"/>
      <w:bookmarkEnd w:id="5"/>
      <w:bookmarkEnd w:id="6"/>
      <w:bookmarkEnd w:id="7"/>
      <w:bookmarkEnd w:id="8"/>
      <w:bookmarkEnd w:id="29"/>
    </w:p>
    <w:p w14:paraId="3DC10438" w14:textId="31B9E882" w:rsidR="00D96A99" w:rsidRPr="00D96A99" w:rsidRDefault="00D96A99" w:rsidP="00D96A99">
      <w:pPr>
        <w:rPr>
          <w:lang w:eastAsia="ar-SA"/>
        </w:rPr>
      </w:pPr>
      <w:r>
        <w:rPr>
          <w:lang w:eastAsia="ar-SA"/>
        </w:rPr>
        <w:t>CBSE: Component Based Software Engineering</w:t>
      </w:r>
    </w:p>
    <w:sectPr w:rsidR="00D96A99" w:rsidRPr="00D96A99" w:rsidSect="00F436E1">
      <w:footerReference w:type="default" r:id="rId14"/>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578D3" w14:textId="77777777" w:rsidR="002A2935" w:rsidRDefault="002A2935" w:rsidP="00F66814">
      <w:r>
        <w:separator/>
      </w:r>
    </w:p>
  </w:endnote>
  <w:endnote w:type="continuationSeparator" w:id="0">
    <w:p w14:paraId="581F5F3C" w14:textId="77777777" w:rsidR="002A2935" w:rsidRDefault="002A2935"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831B5" w14:textId="77777777" w:rsidR="002A2935" w:rsidRDefault="002A2935" w:rsidP="00F66814">
      <w:r>
        <w:separator/>
      </w:r>
    </w:p>
  </w:footnote>
  <w:footnote w:type="continuationSeparator" w:id="0">
    <w:p w14:paraId="7A175C4D" w14:textId="77777777" w:rsidR="002A2935" w:rsidRDefault="002A2935"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294E"/>
    <w:rsid w:val="000C3A34"/>
    <w:rsid w:val="000C3A62"/>
    <w:rsid w:val="000C4851"/>
    <w:rsid w:val="000C4CB8"/>
    <w:rsid w:val="000C533A"/>
    <w:rsid w:val="000C5376"/>
    <w:rsid w:val="000C5D08"/>
    <w:rsid w:val="000C67FF"/>
    <w:rsid w:val="000C69F7"/>
    <w:rsid w:val="000C6DE9"/>
    <w:rsid w:val="000C76DC"/>
    <w:rsid w:val="000C7B0D"/>
    <w:rsid w:val="000D2555"/>
    <w:rsid w:val="000D2DC3"/>
    <w:rsid w:val="000D40F9"/>
    <w:rsid w:val="000D575F"/>
    <w:rsid w:val="000D580D"/>
    <w:rsid w:val="000D5985"/>
    <w:rsid w:val="000D6E15"/>
    <w:rsid w:val="000E0527"/>
    <w:rsid w:val="000E1F8A"/>
    <w:rsid w:val="000E2061"/>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3C2"/>
    <w:rsid w:val="001038B3"/>
    <w:rsid w:val="001042DA"/>
    <w:rsid w:val="00104964"/>
    <w:rsid w:val="00104EEE"/>
    <w:rsid w:val="001076E3"/>
    <w:rsid w:val="00107CE5"/>
    <w:rsid w:val="00110B72"/>
    <w:rsid w:val="00110D9E"/>
    <w:rsid w:val="00111665"/>
    <w:rsid w:val="00111D41"/>
    <w:rsid w:val="0011246F"/>
    <w:rsid w:val="00112B6B"/>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CB"/>
    <w:rsid w:val="00133D54"/>
    <w:rsid w:val="0013418E"/>
    <w:rsid w:val="00134C7B"/>
    <w:rsid w:val="001361CD"/>
    <w:rsid w:val="00136870"/>
    <w:rsid w:val="0013716B"/>
    <w:rsid w:val="00137484"/>
    <w:rsid w:val="00140E71"/>
    <w:rsid w:val="00141356"/>
    <w:rsid w:val="0014160D"/>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22D6"/>
    <w:rsid w:val="001B2DE0"/>
    <w:rsid w:val="001B4715"/>
    <w:rsid w:val="001B5248"/>
    <w:rsid w:val="001B7D65"/>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588"/>
    <w:rsid w:val="001F0CA1"/>
    <w:rsid w:val="001F1F56"/>
    <w:rsid w:val="001F21AA"/>
    <w:rsid w:val="001F2E80"/>
    <w:rsid w:val="001F3359"/>
    <w:rsid w:val="001F3A87"/>
    <w:rsid w:val="001F514A"/>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2935"/>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427B"/>
    <w:rsid w:val="002D4545"/>
    <w:rsid w:val="002D564F"/>
    <w:rsid w:val="002D5A03"/>
    <w:rsid w:val="002D630B"/>
    <w:rsid w:val="002D798C"/>
    <w:rsid w:val="002E1EE5"/>
    <w:rsid w:val="002E1F7C"/>
    <w:rsid w:val="002E2301"/>
    <w:rsid w:val="002E2EE5"/>
    <w:rsid w:val="002E319C"/>
    <w:rsid w:val="002E3C29"/>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AF0"/>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1568"/>
    <w:rsid w:val="003721E9"/>
    <w:rsid w:val="0037221F"/>
    <w:rsid w:val="003729EA"/>
    <w:rsid w:val="003729FB"/>
    <w:rsid w:val="00372D5F"/>
    <w:rsid w:val="00373761"/>
    <w:rsid w:val="0037385A"/>
    <w:rsid w:val="00373A6B"/>
    <w:rsid w:val="00373BDF"/>
    <w:rsid w:val="003749FC"/>
    <w:rsid w:val="00376095"/>
    <w:rsid w:val="00377FA5"/>
    <w:rsid w:val="00380173"/>
    <w:rsid w:val="003805D0"/>
    <w:rsid w:val="003813F8"/>
    <w:rsid w:val="00381813"/>
    <w:rsid w:val="00381ED2"/>
    <w:rsid w:val="0038291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54F0"/>
    <w:rsid w:val="0039608E"/>
    <w:rsid w:val="00397EB3"/>
    <w:rsid w:val="003A08C8"/>
    <w:rsid w:val="003A0DCC"/>
    <w:rsid w:val="003A1F7A"/>
    <w:rsid w:val="003A236F"/>
    <w:rsid w:val="003A2FD5"/>
    <w:rsid w:val="003A326F"/>
    <w:rsid w:val="003A55A8"/>
    <w:rsid w:val="003A70F0"/>
    <w:rsid w:val="003A79A8"/>
    <w:rsid w:val="003A7C39"/>
    <w:rsid w:val="003B06A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6882"/>
    <w:rsid w:val="003D7942"/>
    <w:rsid w:val="003D7A40"/>
    <w:rsid w:val="003D7AD6"/>
    <w:rsid w:val="003E058F"/>
    <w:rsid w:val="003E1D75"/>
    <w:rsid w:val="003E1FB9"/>
    <w:rsid w:val="003E258D"/>
    <w:rsid w:val="003E2A5C"/>
    <w:rsid w:val="003E3955"/>
    <w:rsid w:val="003E428F"/>
    <w:rsid w:val="003E5FCB"/>
    <w:rsid w:val="003E609D"/>
    <w:rsid w:val="003E62AD"/>
    <w:rsid w:val="003E748B"/>
    <w:rsid w:val="003E7507"/>
    <w:rsid w:val="003F14D7"/>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B6"/>
    <w:rsid w:val="00413C45"/>
    <w:rsid w:val="0041466C"/>
    <w:rsid w:val="00414CF3"/>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7207"/>
    <w:rsid w:val="0051721C"/>
    <w:rsid w:val="005178D9"/>
    <w:rsid w:val="00517F5E"/>
    <w:rsid w:val="00520394"/>
    <w:rsid w:val="0052050D"/>
    <w:rsid w:val="0052413F"/>
    <w:rsid w:val="00524559"/>
    <w:rsid w:val="00524DC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70F"/>
    <w:rsid w:val="005947AF"/>
    <w:rsid w:val="00594FF2"/>
    <w:rsid w:val="0059502D"/>
    <w:rsid w:val="005967A5"/>
    <w:rsid w:val="005971A7"/>
    <w:rsid w:val="0059722C"/>
    <w:rsid w:val="005A08FB"/>
    <w:rsid w:val="005A1D51"/>
    <w:rsid w:val="005A335C"/>
    <w:rsid w:val="005A4933"/>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655"/>
    <w:rsid w:val="005C676D"/>
    <w:rsid w:val="005C7842"/>
    <w:rsid w:val="005C7CF4"/>
    <w:rsid w:val="005D03FE"/>
    <w:rsid w:val="005D1DC9"/>
    <w:rsid w:val="005D1FA7"/>
    <w:rsid w:val="005D296B"/>
    <w:rsid w:val="005D319D"/>
    <w:rsid w:val="005D4580"/>
    <w:rsid w:val="005D51A1"/>
    <w:rsid w:val="005D6EB0"/>
    <w:rsid w:val="005D74BE"/>
    <w:rsid w:val="005E0A0A"/>
    <w:rsid w:val="005E0F0D"/>
    <w:rsid w:val="005E171D"/>
    <w:rsid w:val="005E3296"/>
    <w:rsid w:val="005E362E"/>
    <w:rsid w:val="005E489E"/>
    <w:rsid w:val="005E72DC"/>
    <w:rsid w:val="005E77A5"/>
    <w:rsid w:val="005F051E"/>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F02"/>
    <w:rsid w:val="006444FC"/>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32C6"/>
    <w:rsid w:val="0066367A"/>
    <w:rsid w:val="00663F45"/>
    <w:rsid w:val="0066599F"/>
    <w:rsid w:val="00665CB9"/>
    <w:rsid w:val="00666993"/>
    <w:rsid w:val="0066700E"/>
    <w:rsid w:val="00670EF5"/>
    <w:rsid w:val="006714A6"/>
    <w:rsid w:val="00673045"/>
    <w:rsid w:val="00673469"/>
    <w:rsid w:val="00674190"/>
    <w:rsid w:val="006776E6"/>
    <w:rsid w:val="00680F1C"/>
    <w:rsid w:val="0068110B"/>
    <w:rsid w:val="0068294E"/>
    <w:rsid w:val="00682B34"/>
    <w:rsid w:val="006839CC"/>
    <w:rsid w:val="00683E71"/>
    <w:rsid w:val="00684515"/>
    <w:rsid w:val="00684800"/>
    <w:rsid w:val="00684F42"/>
    <w:rsid w:val="00686D14"/>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1E2"/>
    <w:rsid w:val="006F047B"/>
    <w:rsid w:val="006F1558"/>
    <w:rsid w:val="006F18F6"/>
    <w:rsid w:val="006F202B"/>
    <w:rsid w:val="006F2205"/>
    <w:rsid w:val="006F2A01"/>
    <w:rsid w:val="006F35B3"/>
    <w:rsid w:val="006F3C7C"/>
    <w:rsid w:val="006F4724"/>
    <w:rsid w:val="006F4B66"/>
    <w:rsid w:val="006F4E91"/>
    <w:rsid w:val="006F5B4E"/>
    <w:rsid w:val="006F6C67"/>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3BD7"/>
    <w:rsid w:val="007C4C82"/>
    <w:rsid w:val="007C73C4"/>
    <w:rsid w:val="007C7670"/>
    <w:rsid w:val="007C7ACC"/>
    <w:rsid w:val="007D1AB8"/>
    <w:rsid w:val="007D29F0"/>
    <w:rsid w:val="007D3299"/>
    <w:rsid w:val="007D3A2F"/>
    <w:rsid w:val="007D3C1B"/>
    <w:rsid w:val="007D40B1"/>
    <w:rsid w:val="007D4B2D"/>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4041"/>
    <w:rsid w:val="008154EA"/>
    <w:rsid w:val="00815CAC"/>
    <w:rsid w:val="00816A6C"/>
    <w:rsid w:val="00816C21"/>
    <w:rsid w:val="008202A7"/>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F76"/>
    <w:rsid w:val="008876D6"/>
    <w:rsid w:val="00887A4E"/>
    <w:rsid w:val="00887C7A"/>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732"/>
    <w:rsid w:val="008B69B0"/>
    <w:rsid w:val="008B7DC0"/>
    <w:rsid w:val="008C0B6E"/>
    <w:rsid w:val="008C0EEF"/>
    <w:rsid w:val="008C1895"/>
    <w:rsid w:val="008C1F88"/>
    <w:rsid w:val="008C1FBD"/>
    <w:rsid w:val="008C21E1"/>
    <w:rsid w:val="008C22BE"/>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5388"/>
    <w:rsid w:val="00925B61"/>
    <w:rsid w:val="00925F2D"/>
    <w:rsid w:val="0092618E"/>
    <w:rsid w:val="00927C30"/>
    <w:rsid w:val="00930E49"/>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D66"/>
    <w:rsid w:val="00A14005"/>
    <w:rsid w:val="00A1668B"/>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E92"/>
    <w:rsid w:val="00A61EF6"/>
    <w:rsid w:val="00A62CEB"/>
    <w:rsid w:val="00A62DE9"/>
    <w:rsid w:val="00A63214"/>
    <w:rsid w:val="00A63E1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401E"/>
    <w:rsid w:val="00AB406C"/>
    <w:rsid w:val="00AB49C8"/>
    <w:rsid w:val="00AB4D0B"/>
    <w:rsid w:val="00AB5316"/>
    <w:rsid w:val="00AB575F"/>
    <w:rsid w:val="00AB5CBA"/>
    <w:rsid w:val="00AB6A65"/>
    <w:rsid w:val="00AB7542"/>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612"/>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A44"/>
    <w:rsid w:val="00D55DF5"/>
    <w:rsid w:val="00D5680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2B30"/>
    <w:rsid w:val="00EA376E"/>
    <w:rsid w:val="00EA3B26"/>
    <w:rsid w:val="00EA554E"/>
    <w:rsid w:val="00EA5A07"/>
    <w:rsid w:val="00EA612A"/>
    <w:rsid w:val="00EA6A48"/>
    <w:rsid w:val="00EA7C44"/>
    <w:rsid w:val="00EB035A"/>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B3278A-7F3C-4D15-8475-0676C443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11856</TotalTime>
  <Pages>14</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2620</cp:revision>
  <cp:lastPrinted>2021-03-24T05:28:00Z</cp:lastPrinted>
  <dcterms:created xsi:type="dcterms:W3CDTF">2021-02-05T13:36:00Z</dcterms:created>
  <dcterms:modified xsi:type="dcterms:W3CDTF">2021-04-26T12:07:00Z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