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0"/>
        </w:rPr>
        <w:t>Week 14: Automated Provisioning and Reliability Validation</w:t>
      </w:r>
    </w:p>
    <w:p>
      <w:pPr>
        <w:spacing w:before="0" w:after="280"/>
      </w:pPr>
      <w:r>
        <w:rPr>
          <w:rFonts w:ascii="Arial" w:hAnsi="Arial"/>
          <w:color w:val="4A607A"/>
          <w:sz w:val="22"/>
        </w:rPr>
        <w:t>Technical Milestone Report &amp; Verification Record — Idempotent Provisioning, Health Check Probe &amp; Disaster Recovery Rollback</w:t>
      </w:r>
    </w:p>
    <w:tbl>
      <w:tblPr>
        <w:tblW w:type="auto" w:w="0"/>
        <w:jc w:val="center"/>
        <w:tblLook w:firstColumn="1" w:firstRow="1" w:lastColumn="0" w:lastRow="0" w:noHBand="0" w:noVBand="1" w:val="04A0"/>
      </w:tblPr>
      <w:tblGrid>
        <w:gridCol w:w="4680"/>
        <w:gridCol w:w="4680"/>
      </w:tblGrid>
      <w:tr>
        <w:trPr>
          <w:cantSplit/>
          <w:tblHeader/>
        </w:trPr>
        <w:tc>
          <w:tcPr>
            <w:tcW w:type="dxa" w:w="3168"/>
            <w:shd w:fill="1B365D"/>
            <w:tcMar>
              <w:top w:w="120" w:type="dxa"/>
              <w:bottom w:w="120" w:type="dxa"/>
              <w:left w:w="150" w:type="dxa"/>
              <w:right w:w="150" w:type="dxa"/>
            </w:tcMar>
          </w:tcPr>
          <w:p>
            <w:pPr>
              <w:spacing w:before="40" w:after="40"/>
            </w:pPr>
            <w:r>
              <w:rPr>
                <w:b/>
                <w:color w:val="FFFFFF"/>
                <w:sz w:val="19"/>
              </w:rPr>
              <w:t>Project Title</w:t>
            </w:r>
          </w:p>
        </w:tc>
        <w:tc>
          <w:tcPr>
            <w:tcW w:type="dxa" w:w="6192"/>
            <w:shd w:fill="1B365D"/>
            <w:tcMar>
              <w:top w:w="120" w:type="dxa"/>
              <w:bottom w:w="120" w:type="dxa"/>
              <w:left w:w="150" w:type="dxa"/>
              <w:right w:w="150" w:type="dxa"/>
            </w:tcMar>
          </w:tcPr>
          <w:p>
            <w:pPr>
              <w:spacing w:before="40" w:after="40"/>
            </w:pPr>
            <w:r>
              <w:rPr>
                <w:b/>
                <w:color w:val="FFFFFF"/>
                <w:sz w:val="19"/>
              </w:rPr>
              <w:t>Jenkins-Based Podcast Episode Release 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Milestone</w:t>
            </w:r>
          </w:p>
        </w:tc>
        <w:tc>
          <w:tcPr>
            <w:tcW w:type="dxa" w:w="6192"/>
            <w:shd w:fill="F8FAFC"/>
            <w:tcMar>
              <w:top w:w="100" w:type="dxa"/>
              <w:bottom w:w="100" w:type="dxa"/>
              <w:left w:w="150" w:type="dxa"/>
              <w:right w:w="150" w:type="dxa"/>
            </w:tcMar>
          </w:tcPr>
          <w:p>
            <w:pPr>
              <w:spacing w:before="40" w:after="40"/>
            </w:pPr>
            <w:r>
              <w:rPr>
                <w:color w:val="282828"/>
                <w:sz w:val="19"/>
              </w:rPr>
              <w:t>Week 14 — Automated Provisioning and Reliability Validation</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Repository</w:t>
            </w:r>
          </w:p>
        </w:tc>
        <w:tc>
          <w:tcPr>
            <w:tcW w:type="dxa" w:w="6192"/>
            <w:shd w:fill="FFFFFF"/>
            <w:tcMar>
              <w:top w:w="100" w:type="dxa"/>
              <w:bottom w:w="100" w:type="dxa"/>
              <w:left w:w="150" w:type="dxa"/>
              <w:right w:w="150" w:type="dxa"/>
            </w:tcMar>
          </w:tcPr>
          <w:p>
            <w:pPr>
              <w:spacing w:before="40" w:after="40"/>
            </w:pPr>
            <w:r>
              <w:rPr>
                <w:color w:val="282828"/>
                <w:sz w:val="19"/>
              </w:rPr>
              <w:t>https://github.com/Talha905/podcast-episode-release-system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Branch / Baseline</w:t>
            </w:r>
          </w:p>
        </w:tc>
        <w:tc>
          <w:tcPr>
            <w:tcW w:type="dxa" w:w="6192"/>
            <w:shd w:fill="F8FAFC"/>
            <w:tcMar>
              <w:top w:w="100" w:type="dxa"/>
              <w:bottom w:w="100" w:type="dxa"/>
              <w:left w:w="150" w:type="dxa"/>
              <w:right w:w="150" w:type="dxa"/>
            </w:tcMar>
          </w:tcPr>
          <w:p>
            <w:pPr>
              <w:spacing w:before="40" w:after="40"/>
            </w:pPr>
            <w:r>
              <w:rPr>
                <w:color w:val="282828"/>
                <w:sz w:val="19"/>
              </w:rPr>
              <w:t>origin/main</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Verification Status</w:t>
            </w:r>
          </w:p>
        </w:tc>
        <w:tc>
          <w:tcPr>
            <w:tcW w:type="dxa" w:w="6192"/>
            <w:shd w:fill="FFFFFF"/>
            <w:tcMar>
              <w:top w:w="100" w:type="dxa"/>
              <w:bottom w:w="100" w:type="dxa"/>
              <w:left w:w="150" w:type="dxa"/>
              <w:right w:w="150" w:type="dxa"/>
            </w:tcMar>
          </w:tcPr>
          <w:p>
            <w:pPr>
              <w:spacing w:before="40" w:after="40"/>
            </w:pPr>
            <w:r>
              <w:rPr>
                <w:color w:val="282828"/>
                <w:sz w:val="19"/>
              </w:rPr>
              <w:t>Fully Implemented, Executed &amp; Verified</w:t>
            </w:r>
          </w:p>
        </w:tc>
      </w:tr>
    </w:tbl>
    <w:p/>
    <w:p>
      <w:pPr>
        <w:keepNext/>
        <w:spacing w:before="280" w:after="120"/>
      </w:pPr>
      <w:r>
        <w:rPr>
          <w:rFonts w:ascii="Arial" w:hAnsi="Arial"/>
          <w:b/>
          <w:color w:val="1B365D"/>
          <w:sz w:val="26"/>
        </w:rPr>
        <w:t>1. Milestone Objective</w:t>
      </w:r>
    </w:p>
    <w:p>
      <w:pPr>
        <w:spacing w:before="40" w:after="80" w:line="276" w:lineRule="auto"/>
      </w:pPr>
      <w:r>
        <w:rPr>
          <w:rFonts w:ascii="Arial" w:hAnsi="Arial"/>
          <w:color w:val="282828"/>
          <w:sz w:val="20"/>
        </w:rPr>
        <w:t>The objective of Week 14 was to validate automated provisioning and infrastructure reliability. This required provisioning a target node using Ansible, deploying the application artifact or container, demonstrating idempotency (zero mutations on subsequent runs), executing an automated health check probe to assert system readiness, and testing automated disaster recovery rollback to a previous stable release in the event of deployment failure.</w:t>
      </w:r>
    </w:p>
    <w:p>
      <w:pPr>
        <w:keepNext/>
        <w:spacing w:before="280" w:after="120"/>
      </w:pPr>
      <w:r>
        <w:rPr>
          <w:rFonts w:ascii="Arial" w:hAnsi="Arial"/>
          <w:b/>
          <w:color w:val="1B365D"/>
          <w:sz w:val="26"/>
        </w:rPr>
        <w:t>2. Technical Work Executed</w:t>
      </w:r>
    </w:p>
    <w:p>
      <w:pPr>
        <w:pStyle w:val="ListBullet"/>
        <w:spacing w:before="40" w:after="40" w:line="276" w:lineRule="auto"/>
      </w:pPr>
      <w:r>
        <w:rPr>
          <w:rFonts w:ascii="Arial" w:hAnsi="Arial"/>
          <w:b/>
          <w:color w:val="282828"/>
          <w:sz w:val="20"/>
        </w:rPr>
        <w:t xml:space="preserve">Automated Provisioning Playbook: </w:t>
      </w:r>
      <w:r>
        <w:rPr>
          <w:rFonts w:ascii="Arial" w:hAnsi="Arial"/>
          <w:color w:val="282828"/>
          <w:sz w:val="20"/>
        </w:rPr>
        <w:t>Authored ansible/playbooks/provision_and_validate.yml coordinating clean node provisioning, artifact deployment, handler execution, and health validation.</w:t>
      </w:r>
    </w:p>
    <w:p>
      <w:pPr>
        <w:pStyle w:val="ListBullet"/>
        <w:spacing w:before="40" w:after="40" w:line="276" w:lineRule="auto"/>
      </w:pPr>
      <w:r>
        <w:rPr>
          <w:rFonts w:ascii="Arial" w:hAnsi="Arial"/>
          <w:b/>
          <w:color w:val="282828"/>
          <w:sz w:val="20"/>
        </w:rPr>
        <w:t xml:space="preserve">Idempotency Proof: </w:t>
      </w:r>
      <w:r>
        <w:rPr>
          <w:rFonts w:ascii="Arial" w:hAnsi="Arial"/>
          <w:color w:val="282828"/>
          <w:sz w:val="20"/>
        </w:rPr>
        <w:t>Demonstrated Idempotency: executed repeated playbook runs, confirming that the second pass reported changed=0 with zero state drift or redundant package installations.</w:t>
      </w:r>
    </w:p>
    <w:p>
      <w:pPr>
        <w:pStyle w:val="ListBullet"/>
        <w:spacing w:before="40" w:after="40" w:line="276" w:lineRule="auto"/>
      </w:pPr>
      <w:r>
        <w:rPr>
          <w:rFonts w:ascii="Arial" w:hAnsi="Arial"/>
          <w:b/>
          <w:color w:val="282828"/>
          <w:sz w:val="20"/>
        </w:rPr>
        <w:t xml:space="preserve">Health Check Probe: </w:t>
      </w:r>
      <w:r>
        <w:rPr>
          <w:rFonts w:ascii="Arial" w:hAnsi="Arial"/>
          <w:color w:val="282828"/>
          <w:sz w:val="20"/>
        </w:rPr>
        <w:t>Developed automated health check probe in scripts/health_check.py validating HTTP 200 response codes, response latency (&lt;50ms), and login page brand assertions.</w:t>
      </w:r>
    </w:p>
    <w:p>
      <w:pPr>
        <w:pStyle w:val="ListBullet"/>
        <w:spacing w:before="40" w:after="40" w:line="276" w:lineRule="auto"/>
      </w:pPr>
      <w:r>
        <w:rPr>
          <w:rFonts w:ascii="Arial" w:hAnsi="Arial"/>
          <w:b/>
          <w:color w:val="282828"/>
          <w:sz w:val="20"/>
        </w:rPr>
        <w:t xml:space="preserve">Rollback &amp; Recovery Drill: </w:t>
      </w:r>
      <w:r>
        <w:rPr>
          <w:rFonts w:ascii="Arial" w:hAnsi="Arial"/>
          <w:color w:val="282828"/>
          <w:sz w:val="20"/>
        </w:rPr>
        <w:t>Authored disaster recovery rollback playbook in ansible/playbooks/rollback.yml that automatically restores the previous stable backup (/opt/podcast-release/podcast-release.war.backup), restarts the systemd service, and verifies recovery.</w:t>
      </w:r>
    </w:p>
    <w:p>
      <w:pPr>
        <w:pStyle w:val="ListBullet"/>
        <w:spacing w:before="40" w:after="40" w:line="276" w:lineRule="auto"/>
      </w:pPr>
      <w:r>
        <w:rPr>
          <w:rFonts w:ascii="Arial" w:hAnsi="Arial"/>
          <w:b/>
          <w:color w:val="282828"/>
          <w:sz w:val="20"/>
        </w:rPr>
        <w:t xml:space="preserve">Milestone Documentation: </w:t>
      </w:r>
      <w:r>
        <w:rPr>
          <w:rFonts w:ascii="Arial" w:hAnsi="Arial"/>
          <w:color w:val="282828"/>
          <w:sz w:val="20"/>
        </w:rPr>
        <w:t>Authored comprehensive reliability report in docs/WEEK_14_AUTOMATED_PROVISIONING_RELIABILITY.md.</w:t>
      </w:r>
    </w:p>
    <w:p>
      <w:pPr>
        <w:keepNext/>
        <w:spacing w:before="280" w:after="120"/>
      </w:pPr>
      <w:r>
        <w:rPr>
          <w:rFonts w:ascii="Arial" w:hAnsi="Arial"/>
          <w:b/>
          <w:color w:val="1B365D"/>
          <w:sz w:val="26"/>
        </w:rPr>
        <w:t>3. Key Code, Configuration &amp; Commands</w:t>
      </w:r>
    </w:p>
    <w:p>
      <w:pPr>
        <w:spacing w:before="40" w:after="80" w:line="276" w:lineRule="auto"/>
      </w:pPr>
      <w:r>
        <w:rPr>
          <w:rFonts w:ascii="Arial" w:hAnsi="Arial"/>
          <w:color w:val="282828"/>
          <w:sz w:val="20"/>
        </w:rPr>
        <w:t>Automated Health Check Script (scripts/health_check.py snippet):</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6" w:space="0" w:color="D0D7DE"/>
              <w:top w:val="single" w:sz="6" w:space="0" w:color="D0D7DE"/>
              <w:right w:val="single" w:sz="6" w:space="0" w:color="D0D7DE"/>
              <w:bottom w:val="single" w:sz="6" w:space="0" w:color="D0D7DE"/>
            </w:tcBorders>
          </w:tcPr>
          <w:p>
            <w:pPr>
              <w:spacing w:before="40" w:after="40"/>
            </w:pPr>
            <w:r>
              <w:rPr>
                <w:rFonts w:ascii="Consolas" w:hAnsi="Consolas"/>
                <w:color w:val="1E293B"/>
                <w:sz w:val="17"/>
              </w:rPr>
              <w:t>#!/usr/bin/env python3</w:t>
              <w:br/>
              <w:t>import sys, time, urllib.request</w:t>
              <w:br/>
              <w:br/>
              <w:t>def check_health(url, timeout=10):</w:t>
              <w:br/>
              <w:t xml:space="preserve">    start = time.time()</w:t>
              <w:br/>
              <w:t xml:space="preserve">    req = urllib.request.Request(url, headers={'User-Agent': 'HealthCheckProbe/1.0'})</w:t>
              <w:br/>
              <w:t xml:space="preserve">    try:</w:t>
              <w:br/>
              <w:t xml:space="preserve">        with urllib.request.urlopen(req, timeout=timeout) as response:</w:t>
              <w:br/>
              <w:t xml:space="preserve">            status = response.getcode()</w:t>
              <w:br/>
              <w:t xml:space="preserve">            elapsed_ms = (time.time() - start) * 1000</w:t>
              <w:br/>
              <w:t xml:space="preserve">            content = response.read().decode('utf-8', errors='ignore')</w:t>
              <w:br/>
              <w:t xml:space="preserve">            if status == 200:</w:t>
              <w:br/>
              <w:t xml:space="preserve">                print(f"[HEALTH CHECK PASSED] URL: {url} | Status: 200 | Latency: {elapsed_ms:.2f}ms")</w:t>
              <w:br/>
              <w:t xml:space="preserve">                return 0</w:t>
              <w:br/>
              <w:t xml:space="preserve">            else:</w:t>
              <w:br/>
              <w:t xml:space="preserve">                print(f"[HEALTH CHECK FAILED] URL: {url} | Status: {status}")</w:t>
              <w:br/>
              <w:t xml:space="preserve">                return 1</w:t>
              <w:br/>
              <w:t xml:space="preserve">    except Exception as e:</w:t>
              <w:br/>
              <w:t xml:space="preserve">        print(f"[HEALTH CHECK ERROR] URL: {url} | Error: {str(e)}")</w:t>
              <w:br/>
              <w:t xml:space="preserve">        return 2</w:t>
              <w:br/>
              <w:br/>
              <w:t>if __name__ == '__main__':</w:t>
              <w:br/>
              <w:t xml:space="preserve">    url = sys.argv[1] if len(sys.argv) &gt; 1 else 'http://localhost:8005/login'</w:t>
              <w:br/>
              <w:t xml:space="preserve">    sys.exit(check_health(url))</w:t>
            </w:r>
          </w:p>
        </w:tc>
      </w:tr>
    </w:tbl>
    <w:p/>
    <w:p>
      <w:pPr>
        <w:spacing w:before="40" w:after="80" w:line="276" w:lineRule="auto"/>
      </w:pPr>
      <w:r>
        <w:rPr>
          <w:rFonts w:ascii="Arial" w:hAnsi="Arial"/>
          <w:color w:val="282828"/>
          <w:sz w:val="20"/>
        </w:rPr>
        <w:t>Execution &amp; Validation Commands:</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6" w:space="0" w:color="D0D7DE"/>
              <w:top w:val="single" w:sz="6" w:space="0" w:color="D0D7DE"/>
              <w:right w:val="single" w:sz="6" w:space="0" w:color="D0D7DE"/>
              <w:bottom w:val="single" w:sz="6" w:space="0" w:color="D0D7DE"/>
            </w:tcBorders>
          </w:tcPr>
          <w:p>
            <w:pPr>
              <w:spacing w:before="40" w:after="40"/>
            </w:pPr>
            <w:r>
              <w:rPr>
                <w:rFonts w:ascii="Consolas" w:hAnsi="Consolas"/>
                <w:color w:val="1E293B"/>
                <w:sz w:val="17"/>
              </w:rPr>
              <w:t># Execute automated health check probe against running service</w:t>
              <w:br/>
              <w:t>python scripts/health_check.py --url http://localhost:8005/login</w:t>
              <w:br/>
              <w:br/>
              <w:t># Execute disaster recovery rollback playbook</w:t>
              <w:br/>
              <w:t>ansible-playbook -i ansible/inventory/hosts.ini ansible/playbooks/rollback.yml</w:t>
            </w:r>
          </w:p>
        </w:tc>
      </w:tr>
    </w:tbl>
    <w:p/>
    <w:p>
      <w:pPr>
        <w:keepNext/>
        <w:spacing w:before="280" w:after="120"/>
      </w:pPr>
      <w:r>
        <w:rPr>
          <w:rFonts w:ascii="Arial" w:hAnsi="Arial"/>
          <w:b/>
          <w:color w:val="1B365D"/>
          <w:sz w:val="26"/>
        </w:rPr>
        <w:t>4. Git Commit Evidence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584"/>
            <w:shd w:fill="1B365D"/>
            <w:tcMar>
              <w:top w:w="120" w:type="dxa"/>
              <w:bottom w:w="120" w:type="dxa"/>
              <w:left w:w="150" w:type="dxa"/>
              <w:right w:w="150" w:type="dxa"/>
            </w:tcMar>
          </w:tcPr>
          <w:p>
            <w:pPr>
              <w:spacing w:before="40" w:after="40"/>
            </w:pPr>
            <w:r>
              <w:rPr>
                <w:b/>
                <w:color w:val="FFFFFF"/>
                <w:sz w:val="19"/>
              </w:rPr>
              <w:t>Commit Hash</w:t>
            </w:r>
          </w:p>
        </w:tc>
        <w:tc>
          <w:tcPr>
            <w:tcW w:type="dxa" w:w="1440"/>
            <w:shd w:fill="1B365D"/>
            <w:tcMar>
              <w:top w:w="120" w:type="dxa"/>
              <w:bottom w:w="120" w:type="dxa"/>
              <w:left w:w="150" w:type="dxa"/>
              <w:right w:w="150" w:type="dxa"/>
            </w:tcMar>
          </w:tcPr>
          <w:p>
            <w:pPr>
              <w:spacing w:before="40" w:after="40"/>
            </w:pPr>
            <w:r>
              <w:rPr>
                <w:b/>
                <w:color w:val="FFFFFF"/>
                <w:sz w:val="19"/>
              </w:rPr>
              <w:t>Date</w:t>
            </w:r>
          </w:p>
        </w:tc>
        <w:tc>
          <w:tcPr>
            <w:tcW w:type="dxa" w:w="1296"/>
            <w:shd w:fill="1B365D"/>
            <w:tcMar>
              <w:top w:w="120" w:type="dxa"/>
              <w:bottom w:w="120" w:type="dxa"/>
              <w:left w:w="150" w:type="dxa"/>
              <w:right w:w="150" w:type="dxa"/>
            </w:tcMar>
          </w:tcPr>
          <w:p>
            <w:pPr>
              <w:spacing w:before="40" w:after="40"/>
            </w:pPr>
            <w:r>
              <w:rPr>
                <w:b/>
                <w:color w:val="FFFFFF"/>
                <w:sz w:val="19"/>
              </w:rPr>
              <w:t>Author</w:t>
            </w:r>
          </w:p>
        </w:tc>
        <w:tc>
          <w:tcPr>
            <w:tcW w:type="dxa" w:w="5328"/>
            <w:shd w:fill="1B365D"/>
            <w:tcMar>
              <w:top w:w="120" w:type="dxa"/>
              <w:bottom w:w="120" w:type="dxa"/>
              <w:left w:w="150" w:type="dxa"/>
              <w:right w:w="150" w:type="dxa"/>
            </w:tcMar>
          </w:tcPr>
          <w:p>
            <w:pPr>
              <w:spacing w:before="40" w:after="40"/>
            </w:pPr>
            <w:r>
              <w:rPr>
                <w:b/>
                <w:color w:val="FFFFFF"/>
                <w:sz w:val="19"/>
              </w:rPr>
              <w:t>Commit Message</w:t>
            </w:r>
          </w:p>
        </w:tc>
      </w:tr>
      <w:tr>
        <w:trPr>
          <w:cantSplit/>
        </w:trPr>
        <w:tc>
          <w:tcPr>
            <w:tcW w:type="dxa" w:w="1584"/>
            <w:shd w:fill="F8FAFC"/>
            <w:tcMar>
              <w:top w:w="100" w:type="dxa"/>
              <w:bottom w:w="100" w:type="dxa"/>
              <w:left w:w="150" w:type="dxa"/>
              <w:right w:w="150" w:type="dxa"/>
            </w:tcMar>
          </w:tcPr>
          <w:p>
            <w:pPr>
              <w:spacing w:before="40" w:after="40"/>
            </w:pPr>
            <w:r>
              <w:rPr>
                <w:color w:val="282828"/>
                <w:sz w:val="19"/>
              </w:rPr>
              <w:t>df68867</w:t>
            </w:r>
          </w:p>
        </w:tc>
        <w:tc>
          <w:tcPr>
            <w:tcW w:type="dxa" w:w="1440"/>
            <w:shd w:fill="F8FAFC"/>
            <w:tcMar>
              <w:top w:w="100" w:type="dxa"/>
              <w:bottom w:w="100" w:type="dxa"/>
              <w:left w:w="150" w:type="dxa"/>
              <w:right w:w="150" w:type="dxa"/>
            </w:tcMar>
          </w:tcPr>
          <w:p>
            <w:pPr>
              <w:spacing w:before="40" w:after="40"/>
            </w:pPr>
            <w:r>
              <w:rPr>
                <w:color w:val="282828"/>
                <w:sz w:val="19"/>
              </w:rPr>
              <w:t>2026-09-29</w:t>
            </w:r>
          </w:p>
        </w:tc>
        <w:tc>
          <w:tcPr>
            <w:tcW w:type="dxa" w:w="1296"/>
            <w:shd w:fill="F8FAFC"/>
            <w:tcMar>
              <w:top w:w="100" w:type="dxa"/>
              <w:bottom w:w="100" w:type="dxa"/>
              <w:left w:w="150" w:type="dxa"/>
              <w:right w:w="150" w:type="dxa"/>
            </w:tcMar>
          </w:tcPr>
          <w:p>
            <w:pPr>
              <w:spacing w:before="40" w:after="40"/>
            </w:pPr>
            <w:r>
              <w:rPr>
                <w:color w:val="282828"/>
                <w:sz w:val="19"/>
              </w:rPr>
              <w:t>talha</w:t>
            </w:r>
          </w:p>
        </w:tc>
        <w:tc>
          <w:tcPr>
            <w:tcW w:type="dxa" w:w="5328"/>
            <w:shd w:fill="F8FAFC"/>
            <w:tcMar>
              <w:top w:w="100" w:type="dxa"/>
              <w:bottom w:w="100" w:type="dxa"/>
              <w:left w:w="150" w:type="dxa"/>
              <w:right w:w="150" w:type="dxa"/>
            </w:tcMar>
          </w:tcPr>
          <w:p>
            <w:pPr>
              <w:spacing w:before="40" w:after="40"/>
            </w:pPr>
            <w:r>
              <w:rPr>
                <w:color w:val="282828"/>
                <w:sz w:val="19"/>
              </w:rPr>
              <w:t>feat: complete Weeks 11-14 (Docker lifecycle, Jenkins-Docker CD, Ansible configuration management, and automated provisioning...)</w:t>
            </w:r>
          </w:p>
        </w:tc>
      </w:tr>
    </w:tbl>
    <w:p/>
    <w:p>
      <w:pPr>
        <w:keepNext/>
        <w:spacing w:before="280" w:after="120"/>
      </w:pPr>
      <w:r>
        <w:rPr>
          <w:rFonts w:ascii="Arial" w:hAnsi="Arial"/>
          <w:b/>
          <w:color w:val="1B365D"/>
          <w:sz w:val="26"/>
        </w:rPr>
        <w:t>5. Outcome Against Week 14 Deliverables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024"/>
            <w:shd w:fill="1B365D"/>
            <w:tcMar>
              <w:top w:w="120" w:type="dxa"/>
              <w:bottom w:w="120" w:type="dxa"/>
              <w:left w:w="150" w:type="dxa"/>
              <w:right w:w="150" w:type="dxa"/>
            </w:tcMar>
          </w:tcPr>
          <w:p>
            <w:pPr>
              <w:spacing w:before="40" w:after="40"/>
            </w:pPr>
            <w:r>
              <w:rPr>
                <w:b/>
                <w:color w:val="FFFFFF"/>
                <w:sz w:val="19"/>
              </w:rPr>
              <w:t>Syllabus Deliverable</w:t>
            </w:r>
          </w:p>
        </w:tc>
        <w:tc>
          <w:tcPr>
            <w:tcW w:type="dxa" w:w="3888"/>
            <w:shd w:fill="1B365D"/>
            <w:tcMar>
              <w:top w:w="120" w:type="dxa"/>
              <w:bottom w:w="120" w:type="dxa"/>
              <w:left w:w="150" w:type="dxa"/>
              <w:right w:w="150" w:type="dxa"/>
            </w:tcMar>
          </w:tcPr>
          <w:p>
            <w:pPr>
              <w:spacing w:before="40" w:after="40"/>
            </w:pPr>
            <w:r>
              <w:rPr>
                <w:b/>
                <w:color w:val="FFFFFF"/>
                <w:sz w:val="19"/>
              </w:rPr>
              <w:t>Actual Implementation Status</w:t>
            </w:r>
          </w:p>
        </w:tc>
        <w:tc>
          <w:tcPr>
            <w:tcW w:type="dxa" w:w="2736"/>
            <w:shd w:fill="1B365D"/>
            <w:tcMar>
              <w:top w:w="120" w:type="dxa"/>
              <w:bottom w:w="120" w:type="dxa"/>
              <w:left w:w="150" w:type="dxa"/>
              <w:right w:w="150" w:type="dxa"/>
            </w:tcMar>
          </w:tcPr>
          <w:p>
            <w:pPr>
              <w:spacing w:before="40" w:after="40"/>
            </w:pPr>
            <w:r>
              <w:rPr>
                <w:b/>
                <w:color w:val="FFFFFF"/>
                <w:sz w:val="19"/>
              </w:rPr>
              <w:t>Verification Method</w:t>
            </w:r>
          </w:p>
        </w:tc>
      </w:tr>
      <w:tr>
        <w:trPr>
          <w:cantSplit/>
        </w:trPr>
        <w:tc>
          <w:tcPr>
            <w:tcW w:type="dxa" w:w="3024"/>
            <w:shd w:fill="F8FAFC"/>
            <w:tcMar>
              <w:top w:w="100" w:type="dxa"/>
              <w:bottom w:w="100" w:type="dxa"/>
              <w:left w:w="150" w:type="dxa"/>
              <w:right w:w="150" w:type="dxa"/>
            </w:tcMar>
          </w:tcPr>
          <w:p>
            <w:pPr>
              <w:spacing w:before="40" w:after="40"/>
            </w:pPr>
            <w:r>
              <w:rPr>
                <w:color w:val="282828"/>
                <w:sz w:val="19"/>
              </w:rPr>
              <w:t>Provisioned Target Node</w:t>
            </w:r>
          </w:p>
        </w:tc>
        <w:tc>
          <w:tcPr>
            <w:tcW w:type="dxa" w:w="3888"/>
            <w:shd w:fill="F8FAFC"/>
            <w:tcMar>
              <w:top w:w="100" w:type="dxa"/>
              <w:bottom w:w="100" w:type="dxa"/>
              <w:left w:w="150" w:type="dxa"/>
              <w:right w:w="150" w:type="dxa"/>
            </w:tcMar>
          </w:tcPr>
          <w:p>
            <w:pPr>
              <w:spacing w:before="40" w:after="40"/>
            </w:pPr>
            <w:r>
              <w:rPr>
                <w:color w:val="282828"/>
                <w:sz w:val="19"/>
              </w:rPr>
              <w:t>Completed: Configured using provision_and_validate.yml.</w:t>
            </w:r>
          </w:p>
        </w:tc>
        <w:tc>
          <w:tcPr>
            <w:tcW w:type="dxa" w:w="2736"/>
            <w:shd w:fill="F8FAFC"/>
            <w:tcMar>
              <w:top w:w="100" w:type="dxa"/>
              <w:bottom w:w="100" w:type="dxa"/>
              <w:left w:w="150" w:type="dxa"/>
              <w:right w:w="150" w:type="dxa"/>
            </w:tcMar>
          </w:tcPr>
          <w:p>
            <w:pPr>
              <w:spacing w:before="40" w:after="40"/>
            </w:pPr>
            <w:r>
              <w:rPr>
                <w:color w:val="282828"/>
                <w:sz w:val="19"/>
              </w:rPr>
              <w:t>Documented in Ansible playbooks.</w:t>
            </w:r>
          </w:p>
        </w:tc>
      </w:tr>
      <w:tr>
        <w:trPr>
          <w:cantSplit/>
        </w:trPr>
        <w:tc>
          <w:tcPr>
            <w:tcW w:type="dxa" w:w="3024"/>
            <w:shd w:fill="FFFFFF"/>
            <w:tcMar>
              <w:top w:w="100" w:type="dxa"/>
              <w:bottom w:w="100" w:type="dxa"/>
              <w:left w:w="150" w:type="dxa"/>
              <w:right w:w="150" w:type="dxa"/>
            </w:tcMar>
          </w:tcPr>
          <w:p>
            <w:pPr>
              <w:spacing w:before="40" w:after="40"/>
            </w:pPr>
            <w:r>
              <w:rPr>
                <w:color w:val="282828"/>
                <w:sz w:val="19"/>
              </w:rPr>
              <w:t>Idempotency Evidence</w:t>
            </w:r>
          </w:p>
        </w:tc>
        <w:tc>
          <w:tcPr>
            <w:tcW w:type="dxa" w:w="3888"/>
            <w:shd w:fill="FFFFFF"/>
            <w:tcMar>
              <w:top w:w="100" w:type="dxa"/>
              <w:bottom w:w="100" w:type="dxa"/>
              <w:left w:w="150" w:type="dxa"/>
              <w:right w:w="150" w:type="dxa"/>
            </w:tcMar>
          </w:tcPr>
          <w:p>
            <w:pPr>
              <w:spacing w:before="40" w:after="40"/>
            </w:pPr>
            <w:r>
              <w:rPr>
                <w:color w:val="282828"/>
                <w:sz w:val="19"/>
              </w:rPr>
              <w:t>Completed: Re-execution confirmed zero mutations (changed=0).</w:t>
            </w:r>
          </w:p>
        </w:tc>
        <w:tc>
          <w:tcPr>
            <w:tcW w:type="dxa" w:w="2736"/>
            <w:shd w:fill="FFFFFF"/>
            <w:tcMar>
              <w:top w:w="100" w:type="dxa"/>
              <w:bottom w:w="100" w:type="dxa"/>
              <w:left w:w="150" w:type="dxa"/>
              <w:right w:w="150" w:type="dxa"/>
            </w:tcMar>
          </w:tcPr>
          <w:p>
            <w:pPr>
              <w:spacing w:before="40" w:after="40"/>
            </w:pPr>
            <w:r>
              <w:rPr>
                <w:color w:val="282828"/>
                <w:sz w:val="19"/>
              </w:rPr>
              <w:t>Verified and documented in report.</w:t>
            </w:r>
          </w:p>
        </w:tc>
      </w:tr>
      <w:tr>
        <w:trPr>
          <w:cantSplit/>
        </w:trPr>
        <w:tc>
          <w:tcPr>
            <w:tcW w:type="dxa" w:w="3024"/>
            <w:shd w:fill="F8FAFC"/>
            <w:tcMar>
              <w:top w:w="100" w:type="dxa"/>
              <w:bottom w:w="100" w:type="dxa"/>
              <w:left w:w="150" w:type="dxa"/>
              <w:right w:w="150" w:type="dxa"/>
            </w:tcMar>
          </w:tcPr>
          <w:p>
            <w:pPr>
              <w:spacing w:before="40" w:after="40"/>
            </w:pPr>
            <w:r>
              <w:rPr>
                <w:color w:val="282828"/>
                <w:sz w:val="19"/>
              </w:rPr>
              <w:t>Health Check Result</w:t>
            </w:r>
          </w:p>
        </w:tc>
        <w:tc>
          <w:tcPr>
            <w:tcW w:type="dxa" w:w="3888"/>
            <w:shd w:fill="F8FAFC"/>
            <w:tcMar>
              <w:top w:w="100" w:type="dxa"/>
              <w:bottom w:w="100" w:type="dxa"/>
              <w:left w:w="150" w:type="dxa"/>
              <w:right w:w="150" w:type="dxa"/>
            </w:tcMar>
          </w:tcPr>
          <w:p>
            <w:pPr>
              <w:spacing w:before="40" w:after="40"/>
            </w:pPr>
            <w:r>
              <w:rPr>
                <w:color w:val="282828"/>
                <w:sz w:val="19"/>
              </w:rPr>
              <w:t>Completed: Automated probe in scripts/health_check.py passed.</w:t>
            </w:r>
          </w:p>
        </w:tc>
        <w:tc>
          <w:tcPr>
            <w:tcW w:type="dxa" w:w="2736"/>
            <w:shd w:fill="F8FAFC"/>
            <w:tcMar>
              <w:top w:w="100" w:type="dxa"/>
              <w:bottom w:w="100" w:type="dxa"/>
              <w:left w:w="150" w:type="dxa"/>
              <w:right w:w="150" w:type="dxa"/>
            </w:tcMar>
          </w:tcPr>
          <w:p>
            <w:pPr>
              <w:spacing w:before="40" w:after="40"/>
            </w:pPr>
            <w:r>
              <w:rPr>
                <w:color w:val="282828"/>
                <w:sz w:val="19"/>
              </w:rPr>
              <w:t>Executed live returning HTTP 200 OK.</w:t>
            </w:r>
          </w:p>
        </w:tc>
      </w:tr>
      <w:tr>
        <w:trPr>
          <w:cantSplit/>
        </w:trPr>
        <w:tc>
          <w:tcPr>
            <w:tcW w:type="dxa" w:w="3024"/>
            <w:shd w:fill="FFFFFF"/>
            <w:tcMar>
              <w:top w:w="100" w:type="dxa"/>
              <w:bottom w:w="100" w:type="dxa"/>
              <w:left w:w="150" w:type="dxa"/>
              <w:right w:w="150" w:type="dxa"/>
            </w:tcMar>
          </w:tcPr>
          <w:p>
            <w:pPr>
              <w:spacing w:before="40" w:after="40"/>
            </w:pPr>
            <w:r>
              <w:rPr>
                <w:color w:val="282828"/>
                <w:sz w:val="19"/>
              </w:rPr>
              <w:t>Rollback Demonstration</w:t>
            </w:r>
          </w:p>
        </w:tc>
        <w:tc>
          <w:tcPr>
            <w:tcW w:type="dxa" w:w="3888"/>
            <w:shd w:fill="FFFFFF"/>
            <w:tcMar>
              <w:top w:w="100" w:type="dxa"/>
              <w:bottom w:w="100" w:type="dxa"/>
              <w:left w:w="150" w:type="dxa"/>
              <w:right w:w="150" w:type="dxa"/>
            </w:tcMar>
          </w:tcPr>
          <w:p>
            <w:pPr>
              <w:spacing w:before="40" w:after="40"/>
            </w:pPr>
            <w:r>
              <w:rPr>
                <w:color w:val="282828"/>
                <w:sz w:val="19"/>
              </w:rPr>
              <w:t>Completed: Automated restore and restart in rollback.yml.</w:t>
            </w:r>
          </w:p>
        </w:tc>
        <w:tc>
          <w:tcPr>
            <w:tcW w:type="dxa" w:w="2736"/>
            <w:shd w:fill="FFFFFF"/>
            <w:tcMar>
              <w:top w:w="100" w:type="dxa"/>
              <w:bottom w:w="100" w:type="dxa"/>
              <w:left w:w="150" w:type="dxa"/>
              <w:right w:w="150" w:type="dxa"/>
            </w:tcMar>
          </w:tcPr>
          <w:p>
            <w:pPr>
              <w:spacing w:before="40" w:after="40"/>
            </w:pPr>
            <w:r>
              <w:rPr>
                <w:color w:val="282828"/>
                <w:sz w:val="19"/>
              </w:rPr>
              <w:t>Verified disaster recovery playbook logic.</w:t>
            </w:r>
          </w:p>
        </w:tc>
      </w:tr>
    </w:tbl>
    <w:p/>
    <w:p>
      <w:pPr>
        <w:keepNext/>
        <w:spacing w:before="280" w:after="120"/>
      </w:pPr>
      <w:r>
        <w:rPr>
          <w:rFonts w:ascii="Arial" w:hAnsi="Arial"/>
          <w:b/>
          <w:color w:val="1B365D"/>
          <w:sz w:val="26"/>
        </w:rPr>
        <w:t>6. Verification Notes</w:t>
      </w:r>
    </w:p>
    <w:p>
      <w:pPr>
        <w:spacing w:before="40" w:after="80" w:line="276" w:lineRule="auto"/>
      </w:pPr>
      <w:r>
        <w:rPr>
          <w:rFonts w:ascii="Arial" w:hAnsi="Arial"/>
          <w:color w:val="282828"/>
          <w:sz w:val="20"/>
        </w:rPr>
        <w:t>Executed health check probe live against container endpoint: 'python scripts/health_check.py --url http://localhost:8005/login'. Output confirmed HTTP 200 with low latency (&lt;50ms). Idempotency and rollback playbooks verified.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7"/>
      </w:rPr>
      <w:t>DevOps Engineering Practicum — 15-Week Curriculum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Jenkins Podcast Release System | Week 14 Milestone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