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Netflix Customer Intelligence, Churn Prediction</w:t>
      </w:r>
    </w:p>
    <w:p>
      <w:pPr>
        <w:pStyle w:val="Title"/>
        <w:spacing w:after="200"/>
      </w:pPr>
      <w:r>
        <w:t xml:space="preserve">&amp; AI Analytics Copilot — Final Project Report</w:t>
      </w:r>
    </w:p>
    <w:p>
      <w:pPr>
        <w:spacing w:after="120"/>
      </w:pPr>
      <w:r>
        <w:rPr>
          <w:b/>
          <w:bCs/>
        </w:rPr>
        <w:t xml:space="preserve">Author: Talha Patel</w:t>
      </w:r>
    </w:p>
    <w:p>
      <w:pPr>
        <w:spacing w:after="120"/>
      </w:pPr>
      <w:r>
        <w:t xml:space="preserve">Repository: github.com/TalhaPatel675/Netflix-Customer-Intelligence-AI-Analytics-Copilot</w:t>
      </w:r>
    </w:p>
    <w:p>
      <w:pPr>
        <w:spacing w:after="120"/>
      </w:pPr>
      <w:r>
        <w:t xml:space="preserve">Project type: Internmo Data Science Internship — Advanced-level individual project</w:t>
      </w:r>
    </w:p>
    <w:p>
      <w:pPr>
        <w:pStyle w:val="Heading1"/>
        <w:spacing w:after="150" w:before="300"/>
      </w:pPr>
      <w:r>
        <w:t xml:space="preserve">1. Executive Summary</w:t>
      </w:r>
    </w:p>
    <w:p>
      <w:pPr>
        <w:spacing w:after="120"/>
      </w:pPr>
      <w:r>
        <w:t xml:space="preserve">This project is an end-to-end customer intelligence platform modeled on a Netflix-style subscription business. It combines a normalized PostgreSQL database, 37 SQL business-analysis queries spanning intermediate joins through expert-level multi-CTE pipelines, three supervised/unsupervised machine learning models (churn classification, customer segmentation, CLV regression), and a generative-AI Analytics Copilot with six distinct capabilities — text-to-SQL, retrieval-augmented generation (RAG) over unstructured support/feedback text, an ML prediction explainer, an automated business report generator, a root-cause analysis agent, and retention-strategy recommendations. All of this is exposed through a seven-page Streamlit application.</w:t>
      </w:r>
    </w:p>
    <w:p>
      <w:pPr>
        <w:spacing w:after="120"/>
      </w:pPr>
      <w:r>
        <w:t xml:space="preserve">The project answers a single practical business question: which customers are at risk of churning, why, and what should the business do about it.</w:t>
      </w:r>
    </w:p>
    <w:p>
      <w:pPr>
        <w:pStyle w:val="Heading1"/>
        <w:spacing w:after="150" w:before="300"/>
      </w:pPr>
      <w:r>
        <w:t xml:space="preserve">2. Dataset Overview</w:t>
      </w:r>
    </w:p>
    <w:p>
      <w:pPr>
        <w:spacing w:after="120"/>
      </w:pPr>
      <w:r>
        <w:t xml:space="preserve">The platform is built on nine relational CSV datasets, intentionally shipped with realistic data-quality issues to simulate production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1F2937" w:val="clear"/>
          </w:tcPr>
          <w:p>
            <w:r>
              <w:rPr>
                <w:b/>
                <w:bCs/>
                <w:color w:val="FFFFFF"/>
                <w:sz w:val="20"/>
                <w:szCs w:val="20"/>
              </w:rPr>
              <w:t xml:space="preserve">Table</w:t>
            </w:r>
          </w:p>
        </w:tc>
        <w:tc>
          <w:tcPr>
            <w:tcW w:type="dxa" w:w="1500"/>
            <w:shd w:fill="1F2937" w:val="clear"/>
          </w:tcPr>
          <w:p>
            <w:r>
              <w:rPr>
                <w:b/>
                <w:bCs/>
                <w:color w:val="FFFFFF"/>
                <w:sz w:val="20"/>
                <w:szCs w:val="20"/>
              </w:rPr>
              <w:t xml:space="preserve">Rows</w:t>
            </w:r>
          </w:p>
        </w:tc>
        <w:tc>
          <w:tcPr>
            <w:tcW w:type="dxa" w:w="4500"/>
            <w:shd w:fill="1F2937" w:val="clear"/>
          </w:tcPr>
          <w:p>
            <w:r>
              <w:rPr>
                <w:b/>
                <w:bCs/>
                <w:color w:val="FFFFFF"/>
                <w:sz w:val="20"/>
                <w:szCs w:val="20"/>
              </w:rPr>
              <w:t xml:space="preserve">Purpose</w:t>
            </w:r>
          </w:p>
        </w:tc>
      </w:tr>
      <w:tr>
        <w:tc>
          <w:tcPr>
            <w:tcW w:type="dxa" w:w="3000"/>
          </w:tcPr>
          <w:p>
            <w:r>
              <w:rPr>
                <w:b w:val="false"/>
                <w:bCs w:val="false"/>
                <w:color w:val="000000"/>
                <w:sz w:val="20"/>
                <w:szCs w:val="20"/>
              </w:rPr>
              <w:t xml:space="preserve">customers</w:t>
            </w:r>
          </w:p>
        </w:tc>
        <w:tc>
          <w:tcPr>
            <w:tcW w:type="dxa" w:w="1500"/>
          </w:tcPr>
          <w:p>
            <w:r>
              <w:rPr>
                <w:b w:val="false"/>
                <w:bCs w:val="false"/>
                <w:color w:val="000000"/>
                <w:sz w:val="20"/>
                <w:szCs w:val="20"/>
              </w:rPr>
              <w:t xml:space="preserve">8,048</w:t>
            </w:r>
          </w:p>
        </w:tc>
        <w:tc>
          <w:tcPr>
            <w:tcW w:type="dxa" w:w="4500"/>
          </w:tcPr>
          <w:p>
            <w:r>
              <w:rPr>
                <w:b w:val="false"/>
                <w:bCs w:val="false"/>
                <w:color w:val="000000"/>
                <w:sz w:val="20"/>
                <w:szCs w:val="20"/>
              </w:rPr>
              <w:t xml:space="preserve">Demographics and account attributes</w:t>
            </w:r>
          </w:p>
        </w:tc>
      </w:tr>
      <w:tr>
        <w:tc>
          <w:tcPr>
            <w:tcW w:type="dxa" w:w="3000"/>
          </w:tcPr>
          <w:p>
            <w:r>
              <w:rPr>
                <w:b w:val="false"/>
                <w:bCs w:val="false"/>
                <w:color w:val="000000"/>
                <w:sz w:val="20"/>
                <w:szCs w:val="20"/>
              </w:rPr>
              <w:t xml:space="preserve">subscription_plans</w:t>
            </w:r>
          </w:p>
        </w:tc>
        <w:tc>
          <w:tcPr>
            <w:tcW w:type="dxa" w:w="1500"/>
          </w:tcPr>
          <w:p>
            <w:r>
              <w:rPr>
                <w:b w:val="false"/>
                <w:bCs w:val="false"/>
                <w:color w:val="000000"/>
                <w:sz w:val="20"/>
                <w:szCs w:val="20"/>
              </w:rPr>
              <w:t xml:space="preserve">3</w:t>
            </w:r>
          </w:p>
        </w:tc>
        <w:tc>
          <w:tcPr>
            <w:tcW w:type="dxa" w:w="4500"/>
          </w:tcPr>
          <w:p>
            <w:r>
              <w:rPr>
                <w:b w:val="false"/>
                <w:bCs w:val="false"/>
                <w:color w:val="000000"/>
                <w:sz w:val="20"/>
                <w:szCs w:val="20"/>
              </w:rPr>
              <w:t xml:space="preserve">Basic / Standard / Premium catalog</w:t>
            </w:r>
          </w:p>
        </w:tc>
      </w:tr>
      <w:tr>
        <w:tc>
          <w:tcPr>
            <w:tcW w:type="dxa" w:w="3000"/>
          </w:tcPr>
          <w:p>
            <w:r>
              <w:rPr>
                <w:b w:val="false"/>
                <w:bCs w:val="false"/>
                <w:color w:val="000000"/>
                <w:sz w:val="20"/>
                <w:szCs w:val="20"/>
              </w:rPr>
              <w:t xml:space="preserve">subscriptions</w:t>
            </w:r>
          </w:p>
        </w:tc>
        <w:tc>
          <w:tcPr>
            <w:tcW w:type="dxa" w:w="1500"/>
          </w:tcPr>
          <w:p>
            <w:r>
              <w:rPr>
                <w:b w:val="false"/>
                <w:bCs w:val="false"/>
                <w:color w:val="000000"/>
                <w:sz w:val="20"/>
                <w:szCs w:val="20"/>
              </w:rPr>
              <w:t xml:space="preserve">8,875</w:t>
            </w:r>
          </w:p>
        </w:tc>
        <w:tc>
          <w:tcPr>
            <w:tcW w:type="dxa" w:w="4500"/>
          </w:tcPr>
          <w:p>
            <w:r>
              <w:rPr>
                <w:b w:val="false"/>
                <w:bCs w:val="false"/>
                <w:color w:val="000000"/>
                <w:sz w:val="20"/>
                <w:szCs w:val="20"/>
              </w:rPr>
              <w:t xml:space="preserve">Subscription history, incl. plan changes</w:t>
            </w:r>
          </w:p>
        </w:tc>
      </w:tr>
      <w:tr>
        <w:tc>
          <w:tcPr>
            <w:tcW w:type="dxa" w:w="3000"/>
          </w:tcPr>
          <w:p>
            <w:r>
              <w:rPr>
                <w:b w:val="false"/>
                <w:bCs w:val="false"/>
                <w:color w:val="000000"/>
                <w:sz w:val="20"/>
                <w:szCs w:val="20"/>
              </w:rPr>
              <w:t xml:space="preserve">content</w:t>
            </w:r>
          </w:p>
        </w:tc>
        <w:tc>
          <w:tcPr>
            <w:tcW w:type="dxa" w:w="1500"/>
          </w:tcPr>
          <w:p>
            <w:r>
              <w:rPr>
                <w:b w:val="false"/>
                <w:bCs w:val="false"/>
                <w:color w:val="000000"/>
                <w:sz w:val="20"/>
                <w:szCs w:val="20"/>
              </w:rPr>
              <w:t xml:space="preserve">500</w:t>
            </w:r>
          </w:p>
        </w:tc>
        <w:tc>
          <w:tcPr>
            <w:tcW w:type="dxa" w:w="4500"/>
          </w:tcPr>
          <w:p>
            <w:r>
              <w:rPr>
                <w:b w:val="false"/>
                <w:bCs w:val="false"/>
                <w:color w:val="000000"/>
                <w:sz w:val="20"/>
                <w:szCs w:val="20"/>
              </w:rPr>
              <w:t xml:space="preserve">Content catalog</w:t>
            </w:r>
          </w:p>
        </w:tc>
      </w:tr>
      <w:tr>
        <w:tc>
          <w:tcPr>
            <w:tcW w:type="dxa" w:w="3000"/>
          </w:tcPr>
          <w:p>
            <w:r>
              <w:rPr>
                <w:b w:val="false"/>
                <w:bCs w:val="false"/>
                <w:color w:val="000000"/>
                <w:sz w:val="20"/>
                <w:szCs w:val="20"/>
              </w:rPr>
              <w:t xml:space="preserve">viewing_activity</w:t>
            </w:r>
          </w:p>
        </w:tc>
        <w:tc>
          <w:tcPr>
            <w:tcW w:type="dxa" w:w="1500"/>
          </w:tcPr>
          <w:p>
            <w:r>
              <w:rPr>
                <w:b w:val="false"/>
                <w:bCs w:val="false"/>
                <w:color w:val="000000"/>
                <w:sz w:val="20"/>
                <w:szCs w:val="20"/>
              </w:rPr>
              <w:t xml:space="preserve">66,422</w:t>
            </w:r>
          </w:p>
        </w:tc>
        <w:tc>
          <w:tcPr>
            <w:tcW w:type="dxa" w:w="4500"/>
          </w:tcPr>
          <w:p>
            <w:r>
              <w:rPr>
                <w:b w:val="false"/>
                <w:bCs w:val="false"/>
                <w:color w:val="000000"/>
                <w:sz w:val="20"/>
                <w:szCs w:val="20"/>
              </w:rPr>
              <w:t xml:space="preserve">Viewing sessions (primary engagement signal)</w:t>
            </w:r>
          </w:p>
        </w:tc>
      </w:tr>
      <w:tr>
        <w:tc>
          <w:tcPr>
            <w:tcW w:type="dxa" w:w="3000"/>
          </w:tcPr>
          <w:p>
            <w:r>
              <w:rPr>
                <w:b w:val="false"/>
                <w:bCs w:val="false"/>
                <w:color w:val="000000"/>
                <w:sz w:val="20"/>
                <w:szCs w:val="20"/>
              </w:rPr>
              <w:t xml:space="preserve">payments</w:t>
            </w:r>
          </w:p>
        </w:tc>
        <w:tc>
          <w:tcPr>
            <w:tcW w:type="dxa" w:w="1500"/>
          </w:tcPr>
          <w:p>
            <w:r>
              <w:rPr>
                <w:b w:val="false"/>
                <w:bCs w:val="false"/>
                <w:color w:val="000000"/>
                <w:sz w:val="20"/>
                <w:szCs w:val="20"/>
              </w:rPr>
              <w:t xml:space="preserve">110,735</w:t>
            </w:r>
          </w:p>
        </w:tc>
        <w:tc>
          <w:tcPr>
            <w:tcW w:type="dxa" w:w="4500"/>
          </w:tcPr>
          <w:p>
            <w:r>
              <w:rPr>
                <w:b w:val="false"/>
                <w:bCs w:val="false"/>
                <w:color w:val="000000"/>
                <w:sz w:val="20"/>
                <w:szCs w:val="20"/>
              </w:rPr>
              <w:t xml:space="preserve">Billing transactions incl. failures</w:t>
            </w:r>
          </w:p>
        </w:tc>
      </w:tr>
      <w:tr>
        <w:tc>
          <w:tcPr>
            <w:tcW w:type="dxa" w:w="3000"/>
          </w:tcPr>
          <w:p>
            <w:r>
              <w:rPr>
                <w:b w:val="false"/>
                <w:bCs w:val="false"/>
                <w:color w:val="000000"/>
                <w:sz w:val="20"/>
                <w:szCs w:val="20"/>
              </w:rPr>
              <w:t xml:space="preserve">support_tickets</w:t>
            </w:r>
          </w:p>
        </w:tc>
        <w:tc>
          <w:tcPr>
            <w:tcW w:type="dxa" w:w="1500"/>
          </w:tcPr>
          <w:p>
            <w:r>
              <w:rPr>
                <w:b w:val="false"/>
                <w:bCs w:val="false"/>
                <w:color w:val="000000"/>
                <w:sz w:val="20"/>
                <w:szCs w:val="20"/>
              </w:rPr>
              <w:t xml:space="preserve">6,120</w:t>
            </w:r>
          </w:p>
        </w:tc>
        <w:tc>
          <w:tcPr>
            <w:tcW w:type="dxa" w:w="4500"/>
          </w:tcPr>
          <w:p>
            <w:r>
              <w:rPr>
                <w:b w:val="false"/>
                <w:bCs w:val="false"/>
                <w:color w:val="000000"/>
                <w:sz w:val="20"/>
                <w:szCs w:val="20"/>
              </w:rPr>
              <w:t xml:space="preserve">Free-text support tickets (RAG input)</w:t>
            </w:r>
          </w:p>
        </w:tc>
      </w:tr>
      <w:tr>
        <w:tc>
          <w:tcPr>
            <w:tcW w:type="dxa" w:w="3000"/>
          </w:tcPr>
          <w:p>
            <w:r>
              <w:rPr>
                <w:b w:val="false"/>
                <w:bCs w:val="false"/>
                <w:color w:val="000000"/>
                <w:sz w:val="20"/>
                <w:szCs w:val="20"/>
              </w:rPr>
              <w:t xml:space="preserve">customer_feedback</w:t>
            </w:r>
          </w:p>
        </w:tc>
        <w:tc>
          <w:tcPr>
            <w:tcW w:type="dxa" w:w="1500"/>
          </w:tcPr>
          <w:p>
            <w:r>
              <w:rPr>
                <w:b w:val="false"/>
                <w:bCs w:val="false"/>
                <w:color w:val="000000"/>
                <w:sz w:val="20"/>
                <w:szCs w:val="20"/>
              </w:rPr>
              <w:t xml:space="preserve">5,046</w:t>
            </w:r>
          </w:p>
        </w:tc>
        <w:tc>
          <w:tcPr>
            <w:tcW w:type="dxa" w:w="4500"/>
          </w:tcPr>
          <w:p>
            <w:r>
              <w:rPr>
                <w:b w:val="false"/>
                <w:bCs w:val="false"/>
                <w:color w:val="000000"/>
                <w:sz w:val="20"/>
                <w:szCs w:val="20"/>
              </w:rPr>
              <w:t xml:space="preserve">Reviews with ratings/sentiment (RAG input)</w:t>
            </w:r>
          </w:p>
        </w:tc>
      </w:tr>
      <w:tr>
        <w:tc>
          <w:tcPr>
            <w:tcW w:type="dxa" w:w="3000"/>
          </w:tcPr>
          <w:p>
            <w:r>
              <w:rPr>
                <w:b w:val="false"/>
                <w:bCs w:val="false"/>
                <w:color w:val="000000"/>
                <w:sz w:val="20"/>
                <w:szCs w:val="20"/>
              </w:rPr>
              <w:t xml:space="preserve">churn_labels</w:t>
            </w:r>
          </w:p>
        </w:tc>
        <w:tc>
          <w:tcPr>
            <w:tcW w:type="dxa" w:w="1500"/>
          </w:tcPr>
          <w:p>
            <w:r>
              <w:rPr>
                <w:b w:val="false"/>
                <w:bCs w:val="false"/>
                <w:color w:val="000000"/>
                <w:sz w:val="20"/>
                <w:szCs w:val="20"/>
              </w:rPr>
              <w:t xml:space="preserve">8,000</w:t>
            </w:r>
          </w:p>
        </w:tc>
        <w:tc>
          <w:tcPr>
            <w:tcW w:type="dxa" w:w="4500"/>
          </w:tcPr>
          <w:p>
            <w:r>
              <w:rPr>
                <w:b w:val="false"/>
                <w:bCs w:val="false"/>
                <w:color w:val="000000"/>
                <w:sz w:val="20"/>
                <w:szCs w:val="20"/>
              </w:rPr>
              <w:t xml:space="preserve">Ground-truth churn outcome (24.89% churn rate)</w:t>
            </w:r>
          </w:p>
        </w:tc>
      </w:tr>
    </w:tbl>
    <w:p>
      <w:pPr>
        <w:spacing w:after="150"/>
      </w:pPr>
    </w:p>
    <w:p>
      <w:pPr>
        <w:spacing w:after="120"/>
      </w:pPr>
      <w:r>
        <w:t xml:space="preserve">Key data-quality issues identified and resolved during cleaning:</w:t>
      </w:r>
    </w:p>
    <w:p>
      <w:pPr>
        <w:pStyle w:val="ListParagraph"/>
        <w:numPr>
          <w:ilvl w:val="0"/>
          <w:numId w:val="1"/>
        </w:numPr>
        <w:spacing w:after="60"/>
      </w:pPr>
      <w:r>
        <w:t xml:space="preserve">customers: ~0.6% duplicate customer_id rows; state_or_region column shipped 100% blank across all 8,048 rows; inconsistent country formatting (e.g. India / INDIA / IN / Bharat).</w:t>
      </w:r>
    </w:p>
    <w:p>
      <w:pPr>
        <w:pStyle w:val="ListParagraph"/>
        <w:numPr>
          <w:ilvl w:val="0"/>
          <w:numId w:val="1"/>
        </w:numPr>
        <w:spacing w:after="60"/>
      </w:pPr>
      <w:r>
        <w:t xml:space="preserve">payments: subscription_id shipped blank on every row (110,735/110,735) — resolved by matching customer_id + payment_date to the customer's active subscription window.</w:t>
      </w:r>
    </w:p>
    <w:p>
      <w:pPr>
        <w:pStyle w:val="ListParagraph"/>
        <w:numPr>
          <w:ilvl w:val="0"/>
          <w:numId w:val="1"/>
        </w:numPr>
        <w:spacing w:after="60"/>
      </w:pPr>
      <w:r>
        <w:t xml:space="preserve">viewing_activity: device_type had ~20% inconsistent casing/naming (Mobile / MOBILE / Phone / Smartphone) requiring normalization; watch durations ranged up to 894 minutes (legitimate binge-session outliers, not errors).</w:t>
      </w:r>
    </w:p>
    <w:p>
      <w:pPr>
        <w:pStyle w:val="ListParagraph"/>
        <w:numPr>
          <w:ilvl w:val="0"/>
          <w:numId w:val="1"/>
        </w:numPr>
        <w:spacing w:after="60"/>
      </w:pPr>
      <w:r>
        <w:t xml:space="preserve">support_tickets: 61 rows contained malformed date strings (e.g. "2025-13-45"); resolution_time_hours and satisfaction score are legitimately blank for unresolved tickets, not missing data.</w:t>
      </w:r>
    </w:p>
    <w:p>
      <w:pPr>
        <w:pStyle w:val="ListParagraph"/>
        <w:numPr>
          <w:ilvl w:val="0"/>
          <w:numId w:val="1"/>
        </w:numPr>
        <w:spacing w:after="60"/>
      </w:pPr>
      <w:r>
        <w:t xml:space="preserve">customer_feedback: sentiment_label is approximately 7% mislabeled relative to actual text/rating by design — treated as an unreliable signal rather than ground truth.</w:t>
      </w:r>
    </w:p>
    <w:p>
      <w:pPr>
        <w:pStyle w:val="Heading1"/>
        <w:spacing w:after="150" w:before="300"/>
      </w:pPr>
      <w:r>
        <w:t xml:space="preserve">3. Database &amp; SQL Analysis</w:t>
      </w:r>
    </w:p>
    <w:p>
      <w:pPr>
        <w:spacing w:after="120"/>
      </w:pPr>
      <w:r>
        <w:t xml:space="preserve">All nine tables were loaded into PostgreSQL following the schema's foreign-key dependency order (customers → subscription_plans → subscriptions → content → viewing_activity → payments → support_tickets → customer_feedback → churn_labels), with indexes applied for the analytics workload.</w:t>
      </w:r>
    </w:p>
    <w:p>
      <w:pPr>
        <w:spacing w:after="120"/>
      </w:pPr>
      <w:r>
        <w:t xml:space="preserve">All 37 required business questions were answered and independently verified with an automated test harness (tests/test_sql_queries.py) that executes each query against the live database and reports pass/fail per question:</w:t>
      </w:r>
    </w:p>
    <w:p>
      <w:pPr>
        <w:pStyle w:val="ListParagraph"/>
        <w:numPr>
          <w:ilvl w:val="0"/>
          <w:numId w:val="1"/>
        </w:numPr>
        <w:spacing w:after="60"/>
      </w:pPr>
      <w:r>
        <w:t xml:space="preserve">Section A (15 questions) — joins, aggregation, and group-by reporting (e.g. active customers by country, churn rate by acquisition channel).</w:t>
      </w:r>
    </w:p>
    <w:p>
      <w:pPr>
        <w:pStyle w:val="ListParagraph"/>
        <w:numPr>
          <w:ilvl w:val="0"/>
          <w:numId w:val="1"/>
        </w:numPr>
        <w:spacing w:after="60"/>
      </w:pPr>
      <w:r>
        <w:t xml:space="preserve">Section B (12 questions) — window functions and cohort-style analysis (RANK, ROW_NUMBER, LAG, NTILE, 3-month moving averages, cohort retention at 1/3/6 months).</w:t>
      </w:r>
    </w:p>
    <w:p>
      <w:pPr>
        <w:pStyle w:val="ListParagraph"/>
        <w:numPr>
          <w:ilvl w:val="0"/>
          <w:numId w:val="1"/>
        </w:numPr>
        <w:spacing w:after="60"/>
      </w:pPr>
      <w:r>
        <w:t xml:space="preserve">Section C (10 questions) — expert multi-CTE pipelines combining engagement, billing, and support signals into composite metrics (at-risk revenue scoring, win-back candidate lists, a full 0–100 customer health score).</w:t>
      </w:r>
    </w:p>
    <w:p>
      <w:pPr>
        <w:spacing w:after="120"/>
      </w:pPr>
      <w:r>
        <w:t xml:space="preserve">Result: 37/37 queries execute successfully against the populated database.</w:t>
      </w:r>
    </w:p>
    <w:p>
      <w:pPr>
        <w:pStyle w:val="Heading1"/>
        <w:spacing w:after="150" w:before="300"/>
      </w:pPr>
      <w:r>
        <w:t xml:space="preserve">4. Exploratory Data Analysis &amp; Feature Engineering</w:t>
      </w:r>
    </w:p>
    <w:p>
      <w:pPr>
        <w:spacing w:after="120"/>
      </w:pPr>
      <w:r>
        <w:t xml:space="preserve">30 visualizations were produced (exceeding the 20-chart minimum) covering customer distribution, plan and revenue mix, cancellation trends, device and completion-rate patterns, churn by country/plan/tenure/engagement, and support-ticket/CSAT trends.</w:t>
      </w:r>
    </w:p>
    <w:p>
      <w:pPr>
        <w:spacing w:after="120"/>
      </w:pPr>
      <w:r>
        <w:t xml:space="preserve">A customer-level feature table was engineered combining behavioral, billing, and support signals, including: customer_tenure_days, avg_watch_time_per_session, monthly_watch_time_trend, days_since_last_activity, login_frequency, support_ticket_count, avg_customer_satisfaction, failed_payment_count/rate, plan_changes, engagement_score, and customer_lifetime_value.</w:t>
      </w:r>
    </w:p>
    <w:p>
      <w:pPr>
        <w:pStyle w:val="Heading1"/>
        <w:spacing w:after="150" w:before="300"/>
      </w:pPr>
      <w:r>
        <w:t xml:space="preserve">5. Machine Learning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c>
          <w:tcPr>
            <w:tcW w:type="dxa" w:w="3500"/>
            <w:shd w:fill="1F2937" w:val="clear"/>
          </w:tcPr>
          <w:p>
            <w:r>
              <w:rPr>
                <w:b/>
                <w:bCs/>
                <w:color w:val="FFFFFF"/>
                <w:sz w:val="20"/>
                <w:szCs w:val="20"/>
              </w:rPr>
              <w:t xml:space="preserve">Model</w:t>
            </w:r>
          </w:p>
        </w:tc>
        <w:tc>
          <w:tcPr>
            <w:tcW w:type="dxa" w:w="3000"/>
            <w:shd w:fill="1F2937" w:val="clear"/>
          </w:tcPr>
          <w:p>
            <w:r>
              <w:rPr>
                <w:b/>
                <w:bCs/>
                <w:color w:val="FFFFFF"/>
                <w:sz w:val="20"/>
                <w:szCs w:val="20"/>
              </w:rPr>
              <w:t xml:space="preserve">Best Algorithm</w:t>
            </w:r>
          </w:p>
        </w:tc>
        <w:tc>
          <w:tcPr>
            <w:tcW w:type="dxa" w:w="2500"/>
            <w:shd w:fill="1F2937" w:val="clear"/>
          </w:tcPr>
          <w:p>
            <w:r>
              <w:rPr>
                <w:b/>
                <w:bCs/>
                <w:color w:val="FFFFFF"/>
                <w:sz w:val="20"/>
                <w:szCs w:val="20"/>
              </w:rPr>
              <w:t xml:space="preserve">Result</w:t>
            </w:r>
          </w:p>
        </w:tc>
      </w:tr>
      <w:tr>
        <w:tc>
          <w:tcPr>
            <w:tcW w:type="dxa" w:w="3500"/>
          </w:tcPr>
          <w:p>
            <w:r>
              <w:rPr>
                <w:b w:val="false"/>
                <w:bCs w:val="false"/>
                <w:color w:val="000000"/>
                <w:sz w:val="20"/>
                <w:szCs w:val="20"/>
              </w:rPr>
              <w:t xml:space="preserve">Churn Classification</w:t>
            </w:r>
          </w:p>
        </w:tc>
        <w:tc>
          <w:tcPr>
            <w:tcW w:type="dxa" w:w="3000"/>
          </w:tcPr>
          <w:p>
            <w:r>
              <w:rPr>
                <w:b w:val="false"/>
                <w:bCs w:val="false"/>
                <w:color w:val="000000"/>
                <w:sz w:val="20"/>
                <w:szCs w:val="20"/>
              </w:rPr>
              <w:t xml:space="preserve">Logistic Regression</w:t>
            </w:r>
          </w:p>
        </w:tc>
        <w:tc>
          <w:tcPr>
            <w:tcW w:type="dxa" w:w="2500"/>
          </w:tcPr>
          <w:p>
            <w:r>
              <w:rPr>
                <w:b w:val="false"/>
                <w:bCs w:val="false"/>
                <w:color w:val="000000"/>
                <w:sz w:val="20"/>
                <w:szCs w:val="20"/>
              </w:rPr>
              <w:t xml:space="preserve">ROC-AUC 0.6414</w:t>
            </w:r>
          </w:p>
        </w:tc>
      </w:tr>
      <w:tr>
        <w:tc>
          <w:tcPr>
            <w:tcW w:type="dxa" w:w="3500"/>
          </w:tcPr>
          <w:p>
            <w:r>
              <w:rPr>
                <w:b w:val="false"/>
                <w:bCs w:val="false"/>
                <w:color w:val="000000"/>
                <w:sz w:val="20"/>
                <w:szCs w:val="20"/>
              </w:rPr>
              <w:t xml:space="preserve">Customer Segmentation</w:t>
            </w:r>
          </w:p>
        </w:tc>
        <w:tc>
          <w:tcPr>
            <w:tcW w:type="dxa" w:w="3000"/>
          </w:tcPr>
          <w:p>
            <w:r>
              <w:rPr>
                <w:b w:val="false"/>
                <w:bCs w:val="false"/>
                <w:color w:val="000000"/>
                <w:sz w:val="20"/>
                <w:szCs w:val="20"/>
              </w:rPr>
              <w:t xml:space="preserve">K-Means</w:t>
            </w:r>
          </w:p>
        </w:tc>
        <w:tc>
          <w:tcPr>
            <w:tcW w:type="dxa" w:w="2500"/>
          </w:tcPr>
          <w:p>
            <w:r>
              <w:rPr>
                <w:b w:val="false"/>
                <w:bCs w:val="false"/>
                <w:color w:val="000000"/>
                <w:sz w:val="20"/>
                <w:szCs w:val="20"/>
              </w:rPr>
              <w:t xml:space="preserve">7 segments, silhouette 0.181</w:t>
            </w:r>
          </w:p>
        </w:tc>
      </w:tr>
      <w:tr>
        <w:tc>
          <w:tcPr>
            <w:tcW w:type="dxa" w:w="3500"/>
          </w:tcPr>
          <w:p>
            <w:r>
              <w:rPr>
                <w:b w:val="false"/>
                <w:bCs w:val="false"/>
                <w:color w:val="000000"/>
                <w:sz w:val="20"/>
                <w:szCs w:val="20"/>
              </w:rPr>
              <w:t xml:space="preserve">CLV Regression</w:t>
            </w:r>
          </w:p>
        </w:tc>
        <w:tc>
          <w:tcPr>
            <w:tcW w:type="dxa" w:w="3000"/>
          </w:tcPr>
          <w:p>
            <w:r>
              <w:rPr>
                <w:b w:val="false"/>
                <w:bCs w:val="false"/>
                <w:color w:val="000000"/>
                <w:sz w:val="20"/>
                <w:szCs w:val="20"/>
              </w:rPr>
              <w:t xml:space="preserve">Random Forest</w:t>
            </w:r>
          </w:p>
        </w:tc>
        <w:tc>
          <w:tcPr>
            <w:tcW w:type="dxa" w:w="2500"/>
          </w:tcPr>
          <w:p>
            <w:r>
              <w:rPr>
                <w:b w:val="false"/>
                <w:bCs w:val="false"/>
                <w:color w:val="000000"/>
                <w:sz w:val="20"/>
                <w:szCs w:val="20"/>
              </w:rPr>
              <w:t xml:space="preserve">R² 0.998</w:t>
            </w:r>
          </w:p>
        </w:tc>
      </w:tr>
    </w:tbl>
    <w:p>
      <w:pPr>
        <w:spacing w:after="150"/>
      </w:pPr>
    </w:p>
    <w:p>
      <w:pPr>
        <w:spacing w:after="120"/>
      </w:pPr>
      <w:r>
        <w:rPr>
          <w:b/>
          <w:bCs/>
        </w:rPr>
        <w:t xml:space="preserve">5.1 Churn Prediction</w:t>
      </w:r>
    </w:p>
    <w:p>
      <w:pPr>
        <w:spacing w:after="120"/>
      </w:pPr>
      <w:r>
        <w:t xml:space="preserve">Four candidate algorithms were trained and compared (Logistic Regression, Random Forest, Gradient Boosting, XGBoost) with full metrics (accuracy, precision, recall, F1, ROC-AUC, confusion matrix) and 5-fold cross-validation. Logistic Regression was selected as the best model at ROC-AUC 0.6414. This is a modest but honest result: the churn label in this dataset was generated as a noisy, probabilistic function of multiple weakly-correlated signals (engagement trajectory, payment failures, support volume, tenure) rather than any single deterministic driver, so a moderate AUC is the expected and correct outcome for well-calibrated modeling on this data, not a sign of underfitting.</w:t>
      </w:r>
    </w:p>
    <w:p>
      <w:pPr>
        <w:spacing w:after="120"/>
      </w:pPr>
      <w:r>
        <w:rPr>
          <w:b/>
          <w:bCs/>
        </w:rPr>
        <w:t xml:space="preserve">5.2 Customer Segmentation</w:t>
      </w:r>
    </w:p>
    <w:p>
      <w:pPr>
        <w:spacing w:after="120"/>
      </w:pPr>
      <w:r>
        <w:t xml:space="preserve">K-Means clustering (k selected via elbow method and silhouette score) produced 7 business-readable segments across engagement, billing, and satisfaction dimensions, each given a descriptive label (e.g. High-Value Loyal, At-Risk Low-Engagement) to support targeted retention strategy.</w:t>
      </w:r>
    </w:p>
    <w:p>
      <w:pPr>
        <w:spacing w:after="120"/>
      </w:pPr>
      <w:r>
        <w:rPr>
          <w:b/>
          <w:bCs/>
        </w:rPr>
        <w:t xml:space="preserve">5.3 CLV Regression — A Note on Model Honesty</w:t>
      </w:r>
    </w:p>
    <w:p>
      <w:pPr>
        <w:spacing w:after="120"/>
      </w:pPr>
      <w:r>
        <w:t xml:space="preserve">The CLV model achieved an R² of 0.998 using Random Forest. This number should be read carefully rather than presented as evidence of a sophisticated model: customer_lifetime_value is defined as the sum of a customer's successful payment amounts, which correlates very strongly with plan price and account tenure — two features also used to predict it. The near-perfect R² reflects this structural, near-arithmetic relationship in the data rather than the model discovering complex hidden patterns. The churn model (AUC 0.64) and the segmentation model represent the more genuinely difficult, more representative modeling problems in this project.</w:t>
      </w:r>
    </w:p>
    <w:p>
      <w:pPr>
        <w:pStyle w:val="Heading1"/>
        <w:spacing w:after="150" w:before="300"/>
      </w:pPr>
      <w:r>
        <w:t xml:space="preserve">6. AI Analytics Copilot</w:t>
      </w:r>
    </w:p>
    <w:p>
      <w:pPr>
        <w:spacing w:after="120"/>
      </w:pPr>
      <w:r>
        <w:t xml:space="preserve">Six required capabilities were implemented as independent, callable functions (src/llm/copilot.py), orchestrated through a single handle() entry point:</w:t>
      </w:r>
    </w:p>
    <w:p>
      <w:pPr>
        <w:pStyle w:val="ListParagraph"/>
        <w:numPr>
          <w:ilvl w:val="0"/>
          <w:numId w:val="1"/>
        </w:numPr>
        <w:spacing w:after="60"/>
      </w:pPr>
      <w:r>
        <w:t xml:space="preserve">Text-to-SQL — a natural-language question is converted to SQL by an LLM, then passed through a validation layer that permits SELECT statements only, blocks INSERT/UPDATE/DELETE/DROP/ALTER/TRUNCATE/CREATE/GRANT/COPY, whitelists table and column names against the known schema, and applies a row-limit cap before execution.</w:t>
      </w:r>
    </w:p>
    <w:p>
      <w:pPr>
        <w:pStyle w:val="ListParagraph"/>
        <w:numPr>
          <w:ilvl w:val="0"/>
          <w:numId w:val="1"/>
        </w:numPr>
        <w:spacing w:after="60"/>
      </w:pPr>
      <w:r>
        <w:t xml:space="preserve">RAG over support tickets and customer feedback — free-text fields (ticket_description, feedback_text) are embedded and retrieved to ground summary answers in actual record counts rather than hallucinated figures.</w:t>
      </w:r>
    </w:p>
    <w:p>
      <w:pPr>
        <w:pStyle w:val="ListParagraph"/>
        <w:numPr>
          <w:ilvl w:val="0"/>
          <w:numId w:val="1"/>
        </w:numPr>
        <w:spacing w:after="60"/>
      </w:pPr>
      <w:r>
        <w:t xml:space="preserve">ML Prediction Explainer — translates a customer's churn probability and underlying feature values into a plain-language business explanation.</w:t>
      </w:r>
    </w:p>
    <w:p>
      <w:pPr>
        <w:pStyle w:val="ListParagraph"/>
        <w:numPr>
          <w:ilvl w:val="0"/>
          <w:numId w:val="1"/>
        </w:numPr>
        <w:spacing w:after="60"/>
      </w:pPr>
      <w:r>
        <w:t xml:space="preserve">Automated Business Report Generator — pulls period metrics via SQL and drafts an executive summary with findings, risks, and recommendations, explicitly separating retrieved facts from AI interpretation.</w:t>
      </w:r>
    </w:p>
    <w:p>
      <w:pPr>
        <w:pStyle w:val="ListParagraph"/>
        <w:numPr>
          <w:ilvl w:val="0"/>
          <w:numId w:val="1"/>
        </w:numPr>
        <w:spacing w:after="60"/>
      </w:pPr>
      <w:r>
        <w:t xml:space="preserve">Root-Cause Analysis Agent — runs a defined sequence of SQL lookups (churn deltas, engagement trend, support/payment signals) to answer questions like "why did churn rise in region X," constrained to only cite figures that were actually returned by a query.</w:t>
      </w:r>
    </w:p>
    <w:p>
      <w:pPr>
        <w:pStyle w:val="ListParagraph"/>
        <w:numPr>
          <w:ilvl w:val="0"/>
          <w:numId w:val="1"/>
        </w:numPr>
        <w:spacing w:after="60"/>
      </w:pPr>
      <w:r>
        <w:t xml:space="preserve">Retention Strategy Recommendation — combines churn probability, CLV, and segment membership into a rules-plus-LLM recommendation for retention action.</w:t>
      </w:r>
    </w:p>
    <w:p>
      <w:pPr>
        <w:spacing w:after="120"/>
      </w:pPr>
      <w:r>
        <w:t xml:space="preserve">The LLM integration uses the OpenAI API (gpt-4o-mini by default) and requires an OPENAI_API_KEY environment variable to be set at runtime.</w:t>
      </w:r>
    </w:p>
    <w:p>
      <w:pPr>
        <w:pStyle w:val="Heading1"/>
        <w:spacing w:after="150" w:before="300"/>
      </w:pPr>
      <w:r>
        <w:t xml:space="preserve">7. Application</w:t>
      </w:r>
    </w:p>
    <w:p>
      <w:pPr>
        <w:spacing w:after="120"/>
      </w:pPr>
      <w:r>
        <w:t xml:space="preserve">A seven-page Streamlit application exposes the full platform: Executive Dashboard, Customer Analytics, Churn Prediction, Customer Segmentation, AI Analytics Copilot (chat interface with visible generated SQL and results), Support Intelligence, and Automated Reports.</w:t>
      </w:r>
    </w:p>
    <w:p>
      <w:pPr>
        <w:pStyle w:val="Heading1"/>
        <w:spacing w:after="150" w:before="300"/>
      </w:pPr>
      <w:r>
        <w:t xml:space="preserve">8. Known Limitations</w:t>
      </w:r>
    </w:p>
    <w:p>
      <w:pPr>
        <w:pStyle w:val="ListParagraph"/>
        <w:numPr>
          <w:ilvl w:val="0"/>
          <w:numId w:val="1"/>
        </w:numPr>
        <w:spacing w:after="60"/>
      </w:pPr>
      <w:r>
        <w:t xml:space="preserve">CLV R² reflects the data's structural design (see Section 5.3) rather than complex predictive power.</w:t>
      </w:r>
    </w:p>
    <w:p>
      <w:pPr>
        <w:pStyle w:val="ListParagraph"/>
        <w:numPr>
          <w:ilvl w:val="0"/>
          <w:numId w:val="1"/>
        </w:numPr>
        <w:spacing w:after="60"/>
      </w:pPr>
      <w:r>
        <w:t xml:space="preserve">Churn AUC (0.64) is moderate by design, given the noisy, probabilistic nature of the churn label.</w:t>
      </w:r>
    </w:p>
    <w:p>
      <w:pPr>
        <w:pStyle w:val="ListParagraph"/>
        <w:numPr>
          <w:ilvl w:val="0"/>
          <w:numId w:val="1"/>
        </w:numPr>
        <w:spacing w:after="60"/>
      </w:pPr>
      <w:r>
        <w:t xml:space="preserve">customer_feedback.sentiment_label is approximately 7% mislabeled by design and was not treated as ground truth.</w:t>
      </w:r>
    </w:p>
    <w:p>
      <w:pPr>
        <w:pStyle w:val="ListParagraph"/>
        <w:numPr>
          <w:ilvl w:val="0"/>
          <w:numId w:val="1"/>
        </w:numPr>
        <w:spacing w:after="60"/>
      </w:pPr>
      <w:r>
        <w:t xml:space="preserve">Cleaning, feature engineering, and model training are implemented as reusable Python scripts under src/ rather than as sequential Jupyter notebooks, for reproducibility (see README for the run order).</w:t>
      </w:r>
    </w:p>
    <w:p>
      <w:pPr>
        <w:pStyle w:val="Heading1"/>
        <w:spacing w:after="150" w:before="300"/>
      </w:pPr>
      <w:r>
        <w:t xml:space="preserve">9. Conclusion</w:t>
      </w:r>
    </w:p>
    <w:p>
      <w:pPr>
        <w:spacing w:after="120"/>
      </w:pPr>
      <w:r>
        <w:t xml:space="preserve">This project demonstrates an end-to-end applied data science and AI engineering workflow: from raw, imperfect relational data through SQL analytics, supervised and unsupervised machine learning, and a generative-AI copilot layer, to a deployed interactive application. All 37 SQL questions, all three required ML models, all six AI Copilot capabilities, and all seven application pages specified in the project brief were completed and are independently runnable end-to-end.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2026-09-05T14:18:25.887Z</dcterms:created>
  <dcterms:modified xsi:type="dcterms:W3CDTF">2026-09-05T14:18:25.899Z</dcterms:modified>
</cp:coreProperties>
</file>

<file path=docProps/custom.xml><?xml version="1.0" encoding="utf-8"?>
<Properties xmlns="http://schemas.openxmlformats.org/officeDocument/2006/custom-properties" xmlns:vt="http://schemas.openxmlformats.org/officeDocument/2006/docPropsVTypes"/>
</file>