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All overcurrent protection devices (e.g. automatic fuses, PTC:s, circuit breakers) shall be selected to match the specific application and shall be chosen to exceed the required vehicle service life without any functional degradation.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Means for providing an indication to the driver (e.g. visual, audible) in case of permanent or frequent activation of the overcurrent protection is required.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semiconductors used as an OCPD an active overload/over-temperature protection is required. This protection shall not rely solely on the intrinsic over-temperature behavior of the device.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 Extended or multiple short circuits or overload situations must normally be handled by software in combination with the intrinsic over-temperature protection in the semiconductor.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vehicle moves.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111</Words>
  <Characters>678</Characters>
  <CharactersWithSpaces>784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2021-03-22T16:33:20Z</dcterms:created>
  <dc:creator/>
  <dc:description/>
  <dc:language>en-US</dc:language>
  <cp:lastModifiedBy/>
  <dcterms:modified xsi:type="dcterms:W3CDTF">2021-03-22T16:43:58Z</dcterms:modified>
  <cp:revision>4</cp:revision>
  <dc:subject/>
  <dc:title/>
</cp:coreProperties>
</file>