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Basket Aware Inventory Research</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Basket-Aware Inventory Control under Demand and Lead-Time Uncertainty</w:t>
      </w:r>
    </w:p>
    <w:p>
      <w:pPr>
        <w:pStyle w:val="Heading2"/>
      </w:pPr>
      <w:r>
        <w:t>Abstract</w:t>
      </w:r>
    </w:p>
    <w:p>
      <w:r>
        <w:t>Retailers replenish products separately even though customers purchase multiple products together and deliveries are uncertain. This study tests whether basket-aware buffering adds service value beyond independent replenishment at tightly matched simulated inventory, and whether any gain remains after popularity and graph-placebo controls.</w:t>
      </w:r>
    </w:p>
    <w:p>
      <w:r>
        <w:t>The primary analysis uses UCI Online Retail II to reconstruct completed invoice baskets, weekly demand, and a training-only co-purchase graph. Three transparent moving-average/seasonal-naive forecasts are selected chronologically per product. A partner-protection policy is compared with an inventory-matched independent control, a popularity-only control, and rewired, shuffled, and stale-graph placebos. The frozen primary replay uses interior alpha = 1.5, a 1% inventory-matching band, 120 stochastic replications, and 1,000 paired bootstrap resamples in the moderate-variance S05 scenario. Three rolling windows and a separate dunnhumby Complete Journey basket dataset provide robustness checks.</w:t>
      </w:r>
    </w:p>
    <w:p>
      <w:r>
        <w:t>In S05, PA1 versus the matched independent control increased item fill by 0.0270 (95% replication interval 0.0263–0.0276) and complete-basket fill by 0.0944 (0.0803–0.1119), at an average inventory difference of 10,343 units and a cost increase of 231,712. Against popularity-only C4, PA1 was worse: item fill −0.0261 and basket fill −0.0667, with cost +168,736; the 1,000-resample intervals excluded zero for all three contrasts. PA1 also exceeded C2, C3, and C5 on both service measures, but those placebo comparisons do not establish that the original edge topology caused the difference. These results support a conditional service trade-off, not a graph-specific advantage. Inventory, supplier, stockout, and historical cost fields are absent, so policy outcomes remain simulated.</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four policies under common inputs. The study position is deliberately empirical: it evaluates when the added basket-aware buffer changes simulated service, inventory, and cost, and reports the controls and uncertainty needed to interpret those changes. The operational evidence boundary and remaining data requirements are consolidated in Section 8.</w:t>
      </w:r>
    </w:p>
    <w:p>
      <w:r>
        <w:br w:type="page"/>
      </w:r>
    </w:p>
    <w:p>
      <w:pPr>
        <w:pStyle w:val="Heading1"/>
      </w:pPr>
      <w:r>
        <w:t>3.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The target bibliographic databases are Scopus and Web of Science Core Collection. The search protocol date is 20 October 2026, with publication years 1994–2025, English-language records, and article, review, and conference-paper document types. The reporting structure follows PRISMA-S guidance (Rethlefsen et al., 2021). The project environment did not provide authenticated Scopus or Web of Science access or export files; consequently, this manuscript does not report invented hit counts or claim a completed licensed-database screening. The strings below are the exact queries to run and archive as CSV/RIS exports when institutional access is available.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search protocol and open-record cross-check identified adjacent studies across all seven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The corrected external replay uses a top-1,000 product universe selected by training active-week support and training volume; weeks 1–78 are training, 79–90 validation, and 91–102 test. It uses one-week lead time, normalized costs, alpha = 1.5, and the same graph/popularity buffer logic. A stock-tightening factor of 0.01 makes item fill non-degenerate; the original top-300/full-stock result is retained as an audit comparison.</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executed Phase 3 replay used the frozen six-fold safety calibration of the residual scale; this is why its absolute inventory levels are larger than those in the earlier four-policy pilot, which used the unmultiplied residual scale.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S^{PA1}_{i,t}=S^{ind}_{i,t}+alpha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All twelve scenarios are replayed with 120 paired replications; deterministic scenarios repeat the identical demand path so their intervals are degenerate. At each replication, the independent control is selected from the frozen target grid and, if necessary, one linear interpolation is attempted; every accepted comparison is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70cc7bc98246449e106eb25e81456a03d6364806cdd68953bd9f72523d26d065.</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pPr>
        <w:jc w:val="center"/>
      </w:pPr>
      <w:r>
        <w:drawing>
          <wp:inline xmlns:a="http://schemas.openxmlformats.org/drawingml/2006/main" xmlns:pic="http://schemas.openxmlformats.org/drawingml/2006/picture">
            <wp:extent cx="6126480" cy="3675888"/>
            <wp:docPr id="1" name="Picture 1" descr="Distribution of retained basket sizes measured in transaction lines" title="Basket-size distribution"/>
            <wp:cNvGraphicFramePr>
              <a:graphicFrameLocks noChangeAspect="1"/>
            </wp:cNvGraphicFramePr>
            <a:graphic>
              <a:graphicData uri="http://schemas.openxmlformats.org/drawingml/2006/picture">
                <pic:pic>
                  <pic:nvPicPr>
                    <pic:cNvPr id="0" name="basket_size_distribution.png"/>
                    <pic:cNvPicPr/>
                  </pic:nvPicPr>
                  <pic:blipFill>
                    <a:blip r:embed="rId10"/>
                    <a:stretch>
                      <a:fillRect/>
                    </a:stretch>
                  </pic:blipFill>
                  <pic:spPr>
                    <a:xfrm>
                      <a:off x="0" y="0"/>
                      <a:ext cx="6126480" cy="3675888"/>
                    </a:xfrm>
                    <a:prstGeom prst="rect"/>
                  </pic:spPr>
                </pic:pic>
              </a:graphicData>
            </a:graphic>
          </wp:inline>
        </w:drawing>
      </w:r>
    </w:p>
    <w:p>
      <w:pPr>
        <w:jc w:val="center"/>
      </w:pPr>
      <w:r>
        <w:rPr>
          <w:rFonts w:ascii="Arial" w:hAnsi="Arial"/>
          <w:i/>
          <w:sz w:val="16"/>
        </w:rPr>
        <w:t>Figure 1. Distribution of retained transaction-line basket sizes in the cleaned UCI data.</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pPr>
        <w:jc w:val="center"/>
      </w:pPr>
      <w:r>
        <w:drawing>
          <wp:inline xmlns:a="http://schemas.openxmlformats.org/drawingml/2006/main" xmlns:pic="http://schemas.openxmlformats.org/drawingml/2006/picture">
            <wp:extent cx="6126480" cy="3318510"/>
            <wp:docPr id="2" name="Picture 2" descr="Training-only co-purchase graph degree and edge-weight summary" title="Co-purchase graph summary"/>
            <wp:cNvGraphicFramePr>
              <a:graphicFrameLocks noChangeAspect="1"/>
            </wp:cNvGraphicFramePr>
            <a:graphic>
              <a:graphicData uri="http://schemas.openxmlformats.org/drawingml/2006/picture">
                <pic:pic>
                  <pic:nvPicPr>
                    <pic:cNvPr id="0" name="graph_summary.png"/>
                    <pic:cNvPicPr/>
                  </pic:nvPicPr>
                  <pic:blipFill>
                    <a:blip r:embed="rId11"/>
                    <a:stretch>
                      <a:fillRect/>
                    </a:stretch>
                  </pic:blipFill>
                  <pic:spPr>
                    <a:xfrm>
                      <a:off x="0" y="0"/>
                      <a:ext cx="6126480" cy="3318510"/>
                    </a:xfrm>
                    <a:prstGeom prst="rect"/>
                  </pic:spPr>
                </pic:pic>
              </a:graphicData>
            </a:graphic>
          </wp:inline>
        </w:drawing>
      </w:r>
    </w:p>
    <w:p>
      <w:pPr>
        <w:jc w:val="center"/>
      </w:pPr>
      <w:r>
        <w:rPr>
          <w:rFonts w:ascii="Arial" w:hAnsi="Arial"/>
          <w:i/>
          <w:sz w:val="16"/>
        </w:rPr>
        <w:t>Figure 2. Training-only co-purchase graph summary for the executed product universe.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policy levels and paired contrasts</w:t>
      </w:r>
    </w:p>
    <w:p>
      <w:r>
        <w:t>The primary replay covers all twelve synthetic scenarios, with 120 paired replications per scenario and the same 1% inventory-matching rule. The earlier S05 table is retained as a diagnostic in the package, but it is not the headline estimand. Because the scenarios use different h and p values, the headline result is a scenario-clustered mean of within-scenario differences, not a pooled cost level. Replication-level intervals below are normal 95% confidence intervals for the paired mean difference; deterministic scenarios have degenerate intervals.</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PA1−C4, the graph-on-top-of-popularity test, and PA1−C1, the inventory-matched independent comparison. The scenario-clustered results are: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 (95% CI)</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+201,341 [132,942, 269,741]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+7,585 [4,435, 10,736]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+0.0268 [0.0260,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+0.1113 [0.0902, 0.1325]</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+194,213 [113,211, 275,215]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+6,092 [6,017, 6,168]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−0.0258 [−0.0268,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−0.0644 [−0.0659, −0.0630]</w:t>
            </w:r>
          </w:p>
        </w:tc>
      </w:tr>
    </w:tbl>
    <w:p>
      <w:pPr>
        <w:spacing w:after="40"/>
      </w:pPr>
    </w:p>
    <w:p>
      <w:r>
        <w:t>The direction is unchanged in every scenario: PA1−C1 is positive for item and basket fill in S01–S12, whereas PA1−C4 is negative for both. Cost differences are positive in every scenario for both contrasts. The per-scenario table, matching-quality table, and forest-plot-ready values are results/phase3_scenario_contrast_summary.csv and results/phase3_matching_quality.csv. Maximum accepted inventory gaps were 0.80% for PA1−C1 and 0.99% for C4−C1; no comparison violated the 1% band.</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+231,712 [227,660, 236,225]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+10,343 [10,321, 10,380]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+0.0270 [0.0263,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+0.0944 [0.0803, 0.1119]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+168,736 [161,770, 175,981]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+6,268 [5,514, 7,314]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−0.0261 [−0.0272,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−0.0667 [−0.0849, −0.0493]</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−81,252 [−85,980, −76,182]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−2,663 [−3,876, −1,074]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+0.0121 [+0.0115, +0.0127]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+0.0235 [+0.0138, +0.0342]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−69,665 [−74,949, −64,060]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−2,122 [−3,824, −246]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+0.0105 [+0.0099, +0.0112]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+0.0352 [+0.0260, +0.0441]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−147,460 [−151,484, −143,045]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−4,914 [−6,483, −3,509]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+0.0222 [+0.0216, +0.0227]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+0.0410 [+0.0339, +0.0486]</w:t>
            </w:r>
          </w:p>
        </w:tc>
      </w:tr>
    </w:tbl>
    <w:p>
      <w:pPr>
        <w:spacing w:after="40"/>
      </w:pPr>
    </w:p>
    <w:p>
      <w:r>
        <w:t>The 1,000-resample week-and-replication bootstrap is a direction check rather than a replacement for the paired mean CI. Its pooled percentile interval for PA1−C4 is negative for item fill (approximately −0.033 to −0.018) and basket fill (approximately −0.082 to −0.046); the corresponding PA1−C1 intervals are positive (approximately 0.020 to 0.034 for item fill and 0.072 to 0.207 for basket fill). The bootstrap cost interval is broad because it resamples scenarios with different synthetic cost scales, so cost inference uses the scenario-clustered mean CI. Thus the all-scenario evidence does not support a graph-on-top-of-popularity gain in this replay. The common-target placebo results remain allocation checks, not topology-identification tests.</w:t>
      </w:r>
    </w:p>
    <w:p>
      <w:r>
        <w:t>Six-fold calibration was chosen on the validation window, before test evaluation, by selecting the candidate multiplier closest to the critical-fractile item-fill target. Across the 24 scenario-policy validation rows, six-fold had mean item fill 0.9487 against mean target 0.9725, versus 0.9152 at three-fold and 0.9625 at nine-fold; the six-fold candidate was the lowest-cost eligible interior calibration satisfying the pre-registered three-percentage-point acceptance rule. In the held-out test, however, the matched C1 target was approximately 0.993 on average while realised C1 item fill was approximately 0.83–0.84, reflecting peak-period under-forecasting and showing that validation calibration is optimistic for the test window. The three-/six-/nine-fold table is results/phase3_calibration_robustness.csv.</w:t>
      </w:r>
    </w:p>
    <w:p>
      <w:pPr>
        <w:jc w:val="center"/>
      </w:pPr>
      <w:r>
        <w:drawing>
          <wp:inline xmlns:a="http://schemas.openxmlformats.org/drawingml/2006/main" xmlns:pic="http://schemas.openxmlformats.org/drawingml/2006/picture">
            <wp:extent cx="6126480" cy="4594860"/>
            <wp:docPr id="3" name="Picture 3" descr="Service versus average inventory frontier for independent and basket-aware policies across representative scenarios" title="Service versus average inventory frontier"/>
            <wp:cNvGraphicFramePr>
              <a:graphicFrameLocks noChangeAspect="1"/>
            </wp:cNvGraphicFramePr>
            <a:graphic>
              <a:graphicData uri="http://schemas.openxmlformats.org/drawingml/2006/picture">
                <pic:pic>
                  <pic:nvPicPr>
                    <pic:cNvPr id="0" name="frontier_plot.png"/>
                    <pic:cNvPicPr/>
                  </pic:nvPicPr>
                  <pic:blipFill>
                    <a:blip r:embed="rId12"/>
                    <a:stretch>
                      <a:fillRect/>
                    </a:stretch>
                  </pic:blipFill>
                  <pic:spPr>
                    <a:xfrm>
                      <a:off x="0" y="0"/>
                      <a:ext cx="6126480" cy="4594860"/>
                    </a:xfrm>
                    <a:prstGeom prst="rect"/>
                  </pic:spPr>
                </pic:pic>
              </a:graphicData>
            </a:graphic>
          </wp:inline>
        </w:drawing>
      </w:r>
    </w:p>
    <w:p>
      <w:pPr>
        <w:jc w:val="center"/>
      </w:pPr>
      <w:r>
        <w:rPr>
          <w:rFonts w:ascii="Arial" w:hAnsi="Arial"/>
          <w:i/>
          <w:sz w:val="16"/>
        </w:rPr>
        <w:t>Figure 3. Service versus average inventory frontier across representative scenarios; the primary alpha is selected by matched-inventory validation.</w:t>
      </w:r>
    </w:p>
    <w:p>
      <w:pPr>
        <w:jc w:val="center"/>
      </w:pPr>
      <w:r>
        <w:drawing>
          <wp:inline xmlns:a="http://schemas.openxmlformats.org/drawingml/2006/main" xmlns:pic="http://schemas.openxmlformats.org/drawingml/2006/picture">
            <wp:extent cx="6126480" cy="3675888"/>
            <wp:docPr id="4" name="Picture 4" descr="Simulated policy cost differences as the shortage penalty varies" title="Cost versus shortage penalty"/>
            <wp:cNvGraphicFramePr>
              <a:graphicFrameLocks noChangeAspect="1"/>
            </wp:cNvGraphicFramePr>
            <a:graphic>
              <a:graphicData uri="http://schemas.openxmlformats.org/drawingml/2006/picture">
                <pic:pic>
                  <pic:nvPicPr>
                    <pic:cNvPr id="0" name="cost_vs_penalty.png"/>
                    <pic:cNvPicPr/>
                  </pic:nvPicPr>
                  <pic:blipFill>
                    <a:blip r:embed="rId13"/>
                    <a:stretch>
                      <a:fillRect/>
                    </a:stretch>
                  </pic:blipFill>
                  <pic:spPr>
                    <a:xfrm>
                      <a:off x="0" y="0"/>
                      <a:ext cx="6126480" cy="3675888"/>
                    </a:xfrm>
                    <a:prstGeom prst="rect"/>
                  </pic:spPr>
                </pic:pic>
              </a:graphicData>
            </a:graphic>
          </wp:inline>
        </w:drawing>
      </w:r>
    </w:p>
    <w:p>
      <w:pPr>
        <w:jc w:val="center"/>
      </w:pPr>
      <w:r>
        <w:rPr>
          <w:rFonts w:ascii="Arial" w:hAnsi="Arial"/>
          <w:i/>
          <w:sz w:val="16"/>
        </w:rPr>
        <w:t>Figure 4. Cost differences as the shortage penalty changes; crossings follow arithmetically from the frozen cost formula and break-even p/h ratios.</w:t>
      </w:r>
    </w:p>
    <w:p>
      <w:pPr>
        <w:pStyle w:val="Heading2"/>
      </w:pPr>
      <w:r>
        <w:t>5.5 Rolling windows, sensitivity,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These rolling outputs are level checks; the corresponding paired contrast file reports PA1−C4 and PA1−C1 with window-specific intervals. The direction is therefore not a universal graph benefit. Sensitivity settings were not merely listed: top-k, minimum pair count, service target, h/p ratio, fixed order cost K, lost-sales versus backorder, and all-units versus distinct-item basket definitions each changed at least one output in the released sensitivity audit. The audit is in results/gate_sensitivity_summary.csv; threshold and top-k checks remain one-scenario diagnostics.</w:t>
      </w:r>
    </w:p>
    <w:p>
      <w:r>
        <w:t>For transparency, the rolling contrast estimates were: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basket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basket fill</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−0.0003 [−0.0003, −0.0003]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+0.0037 [+0.0037, +0.0037]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+0.0055 [+0.0055, +0.0055]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+0.0258 [+0.0258, +0.0258]</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−0.0031 [−0.0031, −0.0031]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−0.0076 [−0.0076, −0.0076]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+0.0057 [+0.0057, +0.0057]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+0.0332 [+0.0332, +0.0332]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−0.0032 [−0.0032, −0.0032]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+0.0007 [+0.0007, +0.0007]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+0.0030 [+0.0030, +0.0030]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+0.0253 [+0.0253, +0.0253]</w:t>
            </w:r>
          </w:p>
        </w:tc>
      </w:tr>
    </w:tbl>
    <w:p>
      <w:pPr>
        <w:spacing w:after="40"/>
      </w:pPr>
    </w:p>
    <w:p>
      <w:r>
        <w:t>These are single-path chronological diagnostics, so the displayed intervals are degenerate and should not be mistaken for sampling intervals. In these rolling checks the C1 grid match was looser than the primary 1% band (5–7%); therefore the all-scenario 1% matched analysis, not the rolling C1 contrast, is the headline inference.</w:t>
      </w:r>
    </w:p>
    <w:p>
      <w:r>
        <w:t>The corrected dunnhumby replay expands the training-only universe from 300 to 1,000 products and applies a declared stock-tightening factor of 0.01 to both policy targets. Under the same chronological split, alpha, graph logic, one-week lead-time assumption, and normalized costs, C4 item fill is 0.9482 and PA1 item fill is 0.0325, giving PA1−C4 = −0.9157; the cost difference is positive. The complete-basket proxy remains tied at 1.0, so only item fill discriminates. The direction of PA1−C4 therefore replicates the UCI item-fill result, although the magnitude is not comparable because the external universe and stress calibration differ. The original top-300/full-stock run remains as an audit file and was correctly classified as non-discriminating. No third dataset was added because a clean, license-compatible, reproducible source was not available in this release.</w:t>
      </w:r>
    </w:p>
    <w:p>
      <w:r>
        <w:t>The external contrast was recorded with 120 paired deterministic paths and 1,000 bootstrap resamples to match the primary count; because the path is deterministic, those intervals are degenerate and are not treated as independent sampling evidence.</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all-scenario Phase 3 replay shows a conditional service gain against the inventory-matched independent control, but not a graph-specific gain over popularity. PA1−C1 is positive for item and basket fill, while PA1−C4 is negative for both and more costly in every scenario. The tighter 1% match, 120 replications, 1,000-resample bootstrap, and three rolling windows strengthen the uncertainty statement, but the extra-buffer explanation is not fully ruled out because PA1 remains slightly higher in inventory than its matched control and C4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most important design result is methodological: a tightly matched independent control, a popularity-only control, graph-topology placebos, replication-level intervals, and rolling windows are needed before a basket graph can be credited with value. Completed transactions support a basket-service proxy, but they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primary robustness upgrades are complete: alpha = 1.5 is interior, matching is within 1%, all twelve scenarios use 120 paired replications, bootstrap uncertainty uses 1,000 resamples, and three rolling windows are reported. The corrected dunnhumby stress replay is separate from UCI and discriminates on item fill but not on the complete-basket proxy; it does not convert the study into a causal or operational validation. The Scopus and Web of Science searches were specified but not run because licensed exports were unavailable, and the reference list is an open-record cross-check rather than a completed database-verified systematic review. The code is publicly archived at GitHub, but no DOI has yet been minted for the repository.</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The public repository archives the released configuration and source-download manifests; a DOI remains future work.</w:t>
      </w:r>
    </w:p>
    <w:p>
      <w:r>
        <w:br w:type="page"/>
      </w:r>
    </w:p>
    <w:p>
      <w:pPr>
        <w:pStyle w:val="Heading1"/>
      </w:pPr>
      <w:r>
        <w:t>9. Conclusion</w:t>
      </w:r>
    </w:p>
    <w:p>
      <w:r>
        <w:t>Across twelve synthetic scenarios, PA1 improved simulated item and complete-basket fill relative to its inventory-matched independent control, but it cost more and performed worse than the popularity-only C4 control in every scenario. Rolling windows did not establish a universal graph benefit, and the external check was non-discriminating. The evidence therefore supports a conditional service trade-off, not a graph-specific economic advantage. The extra-inventory explanation is not yet ruled out, and missing inventory, supplier, stockout, and attempted-demand records prevent historical or causal claims. Popularity is the stronger tested baseline; basket structure remains a candidate signal for controlled offline testing.</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Baykal-Gürsoy, M., &amp; Erkip, N. K. (2011). Forecasting for inventory planning under correlated demand. Wiley Encyclopedia of Operations Research and Management Science, 1–11. https://doi.org/10.1002/9780470400531.eorms0330</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Berry, L. R., Helman, P., &amp; West, M. (2020). Probabilistic forecasting of heterogeneous consumer transaction-sales time series. International Journal of Forecasting, 36(2), 552–569. https://doi.org/10.1016/j.ijforecast.2019.07.007</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The repository has no DOI yet.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all-scenario replay: 120 / 120;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70cc7bc98246449e106eb25e81456a03d6364806cdd68953bd9f72523d26d065, under parent alpha-validation hash ac87a2e332c1c82cff38e93a053770ebe97b744c7af8931e9f3269582ef05866. It produced 4,320 policy rows, 1,440 rows for each headline contrast, 120 replications in each of twelve scenarios, and 1,000 bootstrap draws per contrast. No matching comparison exceeded the 1% band.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in each of twelve scenarios; common random numbers; deterministic scenarios repeat the same path</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all-scenario run uses 120 paired paths per scenario,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Phase 3 precision targets and Phase 4 external replay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equivalent PA1-versus-C4 Phase 3 tests in all twelve scenarios.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Basket Aware Inventory Research Full Manuscript Sections 1 to 10</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