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Basket Structure Add Value Beyond Popularity in Multi Item Replenishment</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Does Basket Structure Add Value Beyond Popularity in Multi Item Replenishment</w:t>
      </w:r>
    </w:p>
    <w:p>
      <w:pPr>
        <w:pStyle w:val="Heading2"/>
      </w:pPr>
      <w:r>
        <w:t>Abstract</w:t>
      </w:r>
    </w:p>
    <w:p>
      <w:r>
        <w:t>Retailers replenish products separately even though customers purchase multiple products together and deliveries are uncertain. This study asks whether a transaction-derived basket buffer adds value beyond product popularity when average inventory is tightly matched.</w:t>
      </w:r>
    </w:p>
    <w:p>
      <w:r>
        <w:t>Using UCI Online Retail II, the study reconstructs completed baskets, forecasts weekly demand with three transparent moving-average or seasonal-naive candidates, and builds a training-only co-purchase graph. PA1, the partner-protection policy, is compared with C1, an inventory-matched independent policy, and C4, a popularity-only policy, across twelve synthetic lead-time and cost scenarios with 120 paired replications. The primary result is negative for the graph-on-top-of-popularity contrast: PA1 minus C4 item fill is −0.0258 (95% scenario-clustered CI −0.0268 to −0.0248), with +6,092 average inventory units and +194,213 simulated cost units. PA1 minus C1 is positive for item fill (+0.0268, CI +0.0260 to +0.0276) but also more costly (+201,341 units). An exploratory low-popularity/high-lift stratum is a conditional exception (+0.1014 item fill), whereas a high-popularity/high-lift stratum is negative (−0.0750). A tightened dunnhumby run is retained only as an external pipeline stress check: its complete-basket proxy does not discriminate and its item-fill contrast is not treated as replication. Because inventory and supplier records are absent, these are controlled simulation findings, not historical or causal estimates.</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(Chen, 2019).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graph, popularity, independent, and placebo controls under common inputs. The paper makes three numbered contributions:</w:t>
      </w:r>
    </w:p>
    <w:p>
      <w:pPr>
        <w:pStyle w:val="ListNumber"/>
      </w:pPr>
      <w:r>
        <w:t>It establishes a matched-inventory primary comparison rather than attributing gains to an unpriced extra buffer.</w:t>
      </w:r>
    </w:p>
    <w:p>
      <w:pPr>
        <w:pStyle w:val="ListNumber"/>
      </w:pPr>
      <w:r>
        <w:t>It shows that popularity dominates the tested graph buffer overall, while a low-popularity/high-lift stratum provides a conditional service regime where pair information can matter.</w:t>
      </w:r>
    </w:p>
    <w:p>
      <w:pPr>
        <w:pStyle w:val="ListNumber"/>
      </w:pPr>
      <w:r>
        <w:t>It supplies reproducible public-data code, scenario definitions, placebo controls, uncertainty estimates, and an external basket-data check.</w:t>
      </w:r>
    </w:p>
    <w:p>
      <w:r>
        <w:t>The operational evidence boundary and remaining data requirements are consolidated in Section 8.</w:t>
      </w:r>
    </w:p>
    <w:p>
      <w:r>
        <w:br w:type="page"/>
      </w:r>
    </w:p>
    <w:p>
      <w:pPr>
        <w:pStyle w:val="Heading1"/>
      </w:pPr>
      <w:r>
        <w:t>3. Targeted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Scopus and Web of Science Core Collection were specified as the target databases. The protocol was dated 20 October 2026, with publication years 1994–2026, English-language records, and article, review, and conference-paper document types. The reporting structure follows PRISMA-S guidance (Rethlefsen et al., 2021), but this is a targeted literature review rather than a completed systematic review: the project environment did not provide authenticated database access or export files. No Scopus or Web of Science hit, duplicate, screening, or inclusion counts are therefore reported. The strings below are preserved as a reproducible search specification for a future licensed run.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Omar et al. (2023) provide a closer basket-data precedent: graph-derived connectivity variables enter demand forecasts and an omnichannel stock-control evaluation. The present study differs by holding the point-forecast ladder fixed and testing a graph buffer at matched simulated inventory.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Rahimi et al. (2026) extend this stream to multi-item periodic review with both temporal and cross-item dependence.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targeted search protocol and open-record cross-check identified adjacent studies across all nine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 The defensible gap is narrower: existing streams separately study co-purchase structure, correlated demand, forecast-driven replenishment, or stochastic inventory control, while this study tests a transparent transaction-derived graph buffer against popularity-only control under matched simulated inventory and reports where the graph signal does and does not survive.</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The corrected external replay uses a top-1,000 product universe selected by training active-week support and training volume; weeks 1–78 are training, 79–90 validation, and 91–102 test. It uses one-week lead time, normalized costs, alpha = 1.5, and the same graph/popularity buffer logic. A stock-tightening factor of 0.01 makes item fill non-degenerate; the original top-300/full-stock result is retained as an audit comparison.</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primary replay used the frozen six-fold safety calibration of the residual scale; this is why its absolute inventory levels are larger than those in the earlier four-policy pilot, which used the unmultiplied residual scale. The primary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S_PA1(i,t) = S_ind(i,t) + alpha times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The complete scenario specification is supplied as Supplementary Table S2.</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All twelve scenarios are replayed with 120 paired replications; deterministic scenarios repeat the identical demand path so their intervals are degenerate. At each replication, the independent control is selected from the frozen target grid and, if necessary, one linear interpolation is attempted; every accepted comparison is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edge-level run used alpha = 3.0 at the grid boundary and is retained as historical secondary evidence. The primary analysis supersedes it for interpretation: alpha = 1.5 is interior and the matching tolerance is 1%.</w:t>
      </w:r>
    </w:p>
    <w:p>
      <w:r>
        <w:t>The executed experiment froze model versions, thresholds, cost table, critical-fractile rule, lead-time distributions, initial conditions, random seeds, and primary outcome definitions before test evaluation. Exact settings, level tables, paired contrasts, bootstrap draws, rolling windows, and the external dataset profile are supplied in the supplementary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the supplementary package;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r>
        <w:t>Figure 1. Distribution of retained transaction-line basket sizes in the cleaned UCI data. Plot unavailable; see `results/basket_size_distribution.png` in the research package.</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r>
        <w:t>Figure 2. Training-only co-purchase graph summary for the executed product universe. Plot unavailable; see `results/graph_summary.png` in the research package.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all-scenario analysis</w:t>
      </w:r>
    </w:p>
    <w:p>
      <w:r>
        <w:t>The primary replay covers all twelve synthetic scenarios, with 120 paired replications per scenario and the same 1% inventory-matching rule. Because the scenarios use different h and p values, the headline result is a scenario-clustered mean of within-scenario differences, not a pooled cost level. Replication-level intervals below are normal 95% confidence intervals for the paired mean difference; deterministic scenarios have degenerate intervals.</w:t>
      </w:r>
    </w:p>
    <w:p>
      <w:pPr>
        <w:pStyle w:val="Heading3"/>
      </w:pPr>
      <w:r>
        <w:t>Legacy S05 level diagnostic</w:t>
      </w:r>
    </w:p>
    <w:p>
      <w:r>
        <w:t>The following S05 level table is retained for auditability only; it is not the primary estimand. The all-scenario paired contrasts below are the main result, while the earlier four-policy comparisons are retained in Appendix E.</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PA1−C4, the graph-on-top-of-popularity test, and PA1−C1, the inventory-matched independent comparison. The scenario-clustered results are: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 (95% CI)</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+201,341 [132,942, 269,741]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+7,585 [4,435, 10,736]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+0.0268 [0.0260,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+0.1113 [0.0902, 0.1325]</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+194,213 [113,211, 275,215]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+6,092 [6,017, 6,168]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−0.0258 [−0.0268,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−0.0644 [−0.0659, −0.0630]</w:t>
            </w:r>
          </w:p>
        </w:tc>
      </w:tr>
    </w:tbl>
    <w:p>
      <w:pPr>
        <w:spacing w:after="40"/>
      </w:pPr>
    </w:p>
    <w:p>
      <w:r>
        <w:t>The direction is unchanged across the effectively 4 × 3 factorial settings: PA1−C1 is positive for item and basket fill, whereas PA1−C4 is negative for both. Cost differences are positive for both contrasts across the factorial cells. The per-setting estimates and matching-quality checks are supplied as Supplementary Tables S1 and S3. Maximum accepted inventory gaps were 0.80% for PA1−C1 and 0.99% for C4−C1; no comparison violated the 1% band.</w:t>
      </w:r>
    </w:p>
    <w:p>
      <w:r>
        <w:t>The 1,000-resample week-and-replication bootstrap is a direction check rather than a replacement for the paired mean CI. Its pooled percentile interval for PA1−C4 is negative for item fill (approximately −0.033 to −0.018) and basket fill (approximately −0.082 to −0.046); the corresponding PA1−C1 intervals are positive (approximately 0.020 to 0.034 for item fill and 0.072 to 0.207 for basket fill). The bootstrap cost interval is broad because it resamples scenarios with different synthetic cost scales, so cost inference uses the scenario-clustered mean CI. Thus the all-scenario evidence does not support a graph-on-top-of-popularity gain in this replay. The common-target placebo results remain allocation checks, not topology-identification tests.</w:t>
      </w:r>
    </w:p>
    <w:p>
      <w:r>
        <w:t>Six-fold calibration was chosen on the validation window, before test evaluation, by selecting the candidate multiplier closest to the critical-fractile item-fill target. Across the validation cells, six-fold had mean item fill 0.9487 against mean target 0.9725, versus 0.9152 at three-fold and 0.9625 at nine-fold; the six-fold candidate was the lowest-cost eligible interior calibration satisfying the pre-registered three-percentage-point acceptance rule. In the held-out test, however, the matched C1 target was approximately 0.993 on average while realised C1 item fill was approximately 0.83–0.84, reflecting peak-period under-forecasting and showing that validation calibration is optimistic for the test window. The three-, six-, and nine-fold comparison is Supplementary Table S6.</w:t>
      </w:r>
    </w:p>
    <w:p>
      <w:r>
        <w:t>Figure 3. Service versus average inventory frontier across representative scenarios; the primary alpha is selected by matched-inventory validation. Plot unavailable; see `results/frontier_plot.png` in the research package.</w:t>
      </w:r>
    </w:p>
    <w:p>
      <w:r>
        <w:t>Figure 4. Cost differences as the shortage penalty changes; crossings follow arithmetically from the frozen cost formula and break-even p/h ratios. Plot unavailable; see `results/cost_vs_penalty.png` in the research package.</w:t>
      </w:r>
    </w:p>
    <w:p>
      <w:r>
        <w:t>Figure 5. Forest plot of PA1 minus C4 and PA1 minus C1 item-fill differences across all twelve synthetic scenarios; whiskers are 95% replication intervals. Plot unavailable; see `results/forest_plot.png` in the research package.</w:t>
      </w:r>
    </w:p>
    <w:p>
      <w:r>
        <w:t>The forest plot is the primary scenario-level display: every scenario has the same direction for PA1 minus C4 and PA1 minus C1 item fill, with no cherry-picked scenario driving the pooled estimate. The S05-only legacy contrasts and the earlier four-policy tables are retained in Appendix E.</w:t>
      </w:r>
    </w:p>
    <w:p>
      <w:pPr>
        <w:pStyle w:val="Heading2"/>
      </w:pPr>
      <w:r>
        <w:t>5.5 Rolling windows, sensitivity,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These rolling outputs are level checks; the corresponding paired contrasts are reported in Supplementary Table S4. The direction is therefore not a universal graph benefit. Sensitivity settings were not merely listed: top-k, minimum pair count, service target, h/p ratio, fixed order cost K, lost-sales versus backorder, and all-units versus distinct-item basket definitions each changed at least one output in the released sensitivity audit. Threshold and top-k checks remain one-scenario diagnostics and are reported in Supplementary Table S5.</w:t>
      </w:r>
    </w:p>
    <w:p>
      <w:r>
        <w:t>For transparency, the rolling contrast estimates were: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basket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basket fill</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−0.0003 [−0.0003, −0.0003]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+0.0037 [+0.0037, +0.0037]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+0.0055 [+0.0055, +0.0055]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+0.0258 [+0.0258, +0.0258]</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−0.0031 [−0.0031, −0.0031]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−0.0076 [−0.0076, −0.0076]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+0.0057 [+0.0057, +0.0057]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+0.0332 [+0.0332, +0.0332]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−0.0032 [−0.0032, −0.0032]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+0.0007 [+0.0007, +0.0007]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+0.0030 [+0.0030, +0.0030]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+0.0253 [+0.0253, +0.0253]</w:t>
            </w:r>
          </w:p>
        </w:tc>
      </w:tr>
    </w:tbl>
    <w:p>
      <w:pPr>
        <w:spacing w:after="40"/>
      </w:pPr>
    </w:p>
    <w:p>
      <w:r>
        <w:t>These are single-path chronological diagnostics, so the displayed intervals are degenerate and should not be mistaken for sampling intervals. In these rolling checks the C1 grid match was looser than the primary 1% band (5–7%); therefore the all-scenario 1% matched analysis, not the rolling C1 contrast, is the headline inference.</w:t>
      </w:r>
    </w:p>
    <w:p>
      <w:r>
        <w:t>The corrected dunnhumby run expands the training-only universe from 300 to 1,000 products and applies a declared stock-tightening factor of 0.01 to both policy targets. Under the same chronological split, alpha, graph logic, one-week lead-time assumption, and normalized costs, C4 item fill is 0.9482 and PA1 item fill is 0.0325, giving PA1−C4 = −0.9157; the cost difference is positive. The complete-basket proxy remains tied at 1.0, so only item fill discriminates. Because the stock factor, inventory model, and graph allocation behave differently in this dataset, the run is retained as a pipeline stress check rather than an external replication. The original top-300/full-stock run remains a non-discriminating audit condition. No third dataset was added because a clean, license-compatible, reproducible source was not available in this release.</w:t>
      </w:r>
    </w:p>
    <w:p>
      <w:r>
        <w:t>The external contrast was recorded with 120 repeated deterministic paths and 1,000 resamples to match the primary count; because the path is deterministic, those intervals are degenerate and are not treated as independent sampling evidence.</w:t>
      </w:r>
    </w:p>
    <w:p>
      <w:pPr>
        <w:pStyle w:val="Heading3"/>
      </w:pPr>
      <w:r>
        <w:t>Exploratory stratum analysis</w:t>
      </w:r>
    </w:p>
    <w:p>
      <w:r>
        <w:t>The exploratory strata were defined from training data only. Product popularity was total training units; low and high popularity were the bottom and top quartiles, with cut points 434.5 and 2,814.5 units. An edge was high-lift and sufficiently supported when its training lift exceeded the 90th percentile, 17.958, and its co-purchase count was at least the 75th percentile, 18 baskets. A product entered the low-popularity/high-lift stratum when both endpoints were below the popularity lower quartile and connected by at least one qualifying edge; the corresponding high-popularity stratum required both endpoints above the upper quartile. The resulting masks contained 235 and 343 products. These thresholds were frozen from training data and the analysis was exploratory rather than pre-registered; the table reports service differences, not a separate cost experiment, because masking the outcome does not change the full-system replay.</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Exploratory regime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Products</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 minus C4 item fill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95% replication CI</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 minus C4 unmet units</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95% replication CI</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 popularity and high lift</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235</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+0.1014</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[+0.1008, +0.1021]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−1,315</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[−1,324, −1,307]</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 popularity and high lift</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343</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−0.0750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[−0.0753, −0.0748]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+34,918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[+34,798, +35,037]</w:t>
            </w:r>
          </w:p>
        </w:tc>
      </w:tr>
    </w:tbl>
    <w:p>
      <w:pPr>
        <w:spacing w:after="40"/>
      </w:pPr>
    </w:p>
    <w:p>
      <w:r>
        <w:t>The regime pattern is the central conditional result: the graph effect is large when products are under-served by popularity-only allocation, but near zero in calibrated rolling windows, where PA1 minus C4 item fill ranged from −0.0003 to −0.0032. The pattern is consistent with a reallocation mechanism, not evidence that lift alone creates a causal complementarity effect.</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Figure 6. PA1 minus C4 item-fill differences in low-popularity/high-lift and high-popularity/high-lift product strata; whiskers are 95% replication intervals. Plot unavailable; see `results/mechanism_strata.png` in the research package.</w:t>
      </w:r>
    </w:p>
    <w:p>
      <w:r>
        <w:t>Figure 7. PA1 minus C4 item-fill differences in the primary UCI analysis and the tightened dunnhumby pipeline stress check; the external replay is not treated as replication or causal validation. Plot unavailable; see `results/external_pipeline_check.png` in the research package.</w:t>
      </w:r>
    </w:p>
    <w:p>
      <w:r>
        <w:t>Figure 6 shows the conditional mechanism result: PA1 improves item fill in the low-popularity/high-lift stratum but loses in the high-popularity/high-lift stratum. Figure 7 is an external pipeline stress check: the tightened dunnhumby replay has an extreme negative item-fill contrast, while its complete-basket proxy remains non-discriminating. It is not treated as a replication.</w:t>
      </w:r>
    </w:p>
    <w:p>
      <w:r>
        <w:t>The complete numerical audit, configuration, and legacy tables are supplied as supplementary material; the manuscript reports the primary estimands and the exploratory stratum table directly.</w:t>
      </w:r>
    </w:p>
    <w:p>
      <w:r>
        <w:br w:type="page"/>
      </w:r>
    </w:p>
    <w:p>
      <w:pPr>
        <w:pStyle w:val="Heading1"/>
      </w:pPr>
      <w:r>
        <w:t>6. Discussion</w:t>
      </w:r>
    </w:p>
    <w:p>
      <w:pPr>
        <w:pStyle w:val="Heading2"/>
      </w:pPr>
      <w:r>
        <w:t>6.1 Interpretation of the executed evidence</w:t>
      </w:r>
    </w:p>
    <w:p>
      <w:r>
        <w:t>The all-scenario primary replay shows a conditional service gain against the inventory-matched independent control, but not a graph-specific gain over popularity. PA1−C1 is positive for item and basket fill, while PA1−C4 is negative for both and more costly across the factorial settings. The tighter 1% match, 120 replications, 1,000-resample bootstrap, and three rolling windows strengthen the uncertainty statement, but the extra-buffer explanation is not fully ruled out because PA1 remains slightly higher in inventory than its matched control and C4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design implication is compact: a basket graph should be credited only after comparison with a tightly matched independent control, a popularity-only control, graph-topology placebos, replication-level intervals, and rolling windows. Completed transactions support a basket-service proxy, but cannot identify stockout substitution or causal complementarity.</w:t>
      </w:r>
    </w:p>
    <w:p>
      <w:pPr>
        <w:pStyle w:val="Heading2"/>
      </w:pPr>
      <w:r>
        <w:t>6.4 Why popularity wins and when pairs can matter</w:t>
      </w:r>
    </w:p>
    <w:p>
      <w:r>
        <w:t>The empirical result is easier to interpret with a stylised basket model. Consider a basket made of one high-volume hub item H and several lower-volume companion items L1 through Lm. Let qH and qj denote the probabilities that the corresponding item is available when the basket arrives. Under a simple conditional-independence approximation, the probability of completing the basket is</w:t>
      </w:r>
    </w:p>
    <w:p>
      <w:r>
        <w:t>P(complete) = qH multiplied by q1 multiplied by q2 and so on through qm.</w:t>
      </w:r>
    </w:p>
    <w:p>
      <w:r>
        <w:t>The marginal value of improving availability for item i is therefore the product of the availability probabilities of the other items. An item that appears in many baskets has this marginal effect repeated across many orders. If H is present in a large share of baskets, a shortage of H can block many baskets at once, even when each companion is individually less popular. A popularity-only policy naturally allocates protection to H because its forecast volume and residual exposure are high. In a star-shaped basket network, this can dominate a graph policy that spreads a fixed buffer over many leaves.</w:t>
      </w:r>
    </w:p>
    <w:p>
      <w:r>
        <w:t>The same model shows why a pair signal can sometimes add value. Suppose a low-volume leaf L is purchased almost exclusively with H, so the conditional probability of L given H is high. If L has low marginal volume, a popularity rule may assign it too little protection. A targeted graph buffer can then raise qL with little displacement of H, improving the probability that the H-L basket is complete. The gain is largest when three conditions coincide: the pair is conditionally concentrated, the leaf is not already protected by its marginal popularity, and the graph edge is stable enough that the relationship persists in the evaluation period. The gain is small when both endpoints are already popular, when the edge is supported by few baskets, or when the graph buffer takes stock away from a hub that serves many other baskets.</w:t>
      </w:r>
    </w:p>
    <w:p>
      <w:r>
        <w:t>Lift is useful for screening this condition but is not sufficient by itself. Lift divides conditional co-purchase by the marginal frequency of the second item. It can be high because the denominator is small, because of assortment restrictions, or because of a temporary promotion. Pair count and edge stability are therefore needed alongside lift. A high-lift pair with very low support may be a noisy rule; a high-lift pair whose endpoints are both high-volume may add no information beyond popularity. The exploratory analysis used both a high-lift threshold and a minimum pair-count threshold, then separated low-popularity from high-popularity endpoints.</w:t>
      </w:r>
    </w:p>
    <w:p>
      <w:r>
        <w:t>The results fit this mechanism. In the low-popularity/high-lift regime, defined using training-only quartiles and edge thresholds, the graph policy improved item fill relative to C4 by 0.1014, with a 95% replication interval from 0.1008 to 0.1021. Unmet units fell by about 1,315. In the high-popularity/high-lift regime, the same graph policy reduced item fill by 0.0750 and increased unmet units by about 34,918. Thus, high lift did not rescue the graph when popularity already identified the products that mattered most. The conditional result is consistent with pair information helping mainly when it supplies information about under-served products that popularity misses.</w:t>
      </w:r>
    </w:p>
    <w:p>
      <w:r>
        <w:t>The rolling windows provide a complementary calibration check. In the three chronological windows, the PA1 minus C4 item-fill differences were approximately −0.0003, −0.0031, and −0.0032. These are near-zero effects compared with the exploratory low-popularity/high-lift contrast. The pattern suggests a regime distinction: when the system is broadly calibrated and the policy targets are already adequate, the graph has little incremental service value; when a subset of products is under-served relative to the basket relationships that connect them to demand, the graph can change item-level allocation more visibly. This is a hypothesis about the replay mechanism, not a causal claim about customer behaviour.</w:t>
      </w:r>
    </w:p>
    <w:p>
      <w:r>
        <w:t>The mechanism also clarifies the economic boundary. The exploratory masks were applied to the outcome metrics after the same full-system policies were replayed, so the reported stratum differences are service diagnostics. They do not prove that a manager can obtain the 10-point service improvement without paying for the additional buffer or without harming other products. The all-scenario primary analysis remains the correct economic result: PA1 costs more and performs worse than popularity-only C4 at the tested matched scale. A practical decision rule follows: use popularity-only control by default; consider a graph buffer only after a training-only audit finds a stable low-popularity/high-lift regime, and require a matched-inventory pilot to show a positive service interval without an unacceptable cost increase.</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robustness upgrades are complete for the released simulation: alpha = 1.5 is interior, matching is within 1%, all twelve scenarios use 120 paired replications, bootstrap uncertainty uses 1,000 resamples, and three rolling windows are reported. The tightened dunnhumby stress replay discriminates on item fill but not on the complete-basket proxy; it is not causal or operational validation. Scopus and Web of Science were specified but not run because licensed exports were unavailable; the reference list is an open-record cross-check, not a database-verified systematic review. The code is public, but the repository has no DOI.</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The public repository archives the released configuration and source-download manifests; a DOI remains future work.</w:t>
      </w:r>
    </w:p>
    <w:p>
      <w:r>
        <w:br w:type="page"/>
      </w:r>
    </w:p>
    <w:p>
      <w:pPr>
        <w:pStyle w:val="Heading1"/>
      </w:pPr>
      <w:r>
        <w:t>9. Conclusion</w:t>
      </w:r>
    </w:p>
    <w:p>
      <w:r>
        <w:t>Across twelve synthetic scenarios, PA1 improved simulated item and complete-basket fill relative to its inventory-matched independent control, but it cost more and performed worse than the popularity-only C4 control in every scenario. Rolling windows did not establish a universal graph benefit, and the external check was non-discriminating. The evidence therefore supports a conditional service trade-off, not a graph-specific economic advantage. The extra-inventory explanation is not yet ruled out, and missing inventory, supplier, stockout, and attempted-demand records prevent historical or causal claims. Popularity is the stronger tested baseline; basket structure remains a candidate signal for controlled offline testing.</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Rahimi, Z., Down, D. G., Li, N., &amp; Arnold, D. M. (2026). Ordering policies for multi-item inventory systems with correlated demands. European Journal of Operational Research, 333(2), 381–397. https://doi.org/10.1016/j.ejor.2025.12.042</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Omar, H., Klibi, W., Babai, M. Z., &amp; Ducq, Y. (2023). Basket data-driven approach for omnichannel demand forecasting. International Journal of Production Economics, 257, 108748. https://doi.org/10.1016/j.ijpe.2022.108748</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the separate M5 release, and the documented dunnhumby Complete Journey release. The repository release and DOI status are recorded in the supplementary materials. UCI identifies Online Retail II as licensed under CC BY 4.0; redistribution or adaptation requires attribution to Daqing Chen and UCI. The dunnhumby mirror states DbCL-1.0 and its terms should be reviewed before redistribution. The targeted-search and metadata boundary is documented in the supplementary audit.</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Reproducible analysis scripts and supplementary tables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Inventory-matched baseline, service-inventory frontier, placebo, break-even ratios, sensitivity, bootstrap intervals, extended alpha calibration, rolling-origin replay, and forecast test diagnostics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Supplementary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Supplementary Tables S1–S8 and archived analysis files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Paired replay and summary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configuration and scenario files are supplied in the supplementary archive; earlier exploratory configurations are retained there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 all-scenario replay: 120 / 120; earlier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primary analysis produced 4,320 policy rows, 1,440 rows for each headline contrast, 120 replications in each of twelve factorial cells, and 1,000 bootstrap draws per contrast. No matching comparison exceeded the 1% band. The three rolling windows and dunnhumby source profile are included in the supplementary archive.</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in each of twelve scenarios; common random numbers; deterministic scenarios repeat the same path</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all-scenario run uses 120 paired paths per scenario,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Evidence status is recorded in the supplementary archive. The precision targets and external pipeline stress check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the all-cell PA1-versus-C4 tests reported in the primary analysis.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Basket Structure Add Value Beyond Popularity in Multi Item Replenishment</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