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Oort (B9, OSDI '21)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34.50 [31.0, 37.8]</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25.75 [24.2, 27.5]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0.6514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seeds to four decimal places (33.24% final accuracy, 25.64% recovery accuracy, and 0.4846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starving up to ninety percent of clients. While FedQual-CPX enforces broad participation (100% coverage, Gini 0.4846), its change-tracking exploration cannot overcome delay inflation at rho = 0.10. Consequently, uniform random selection achieves the strongest post-drift recovery while preserving minimal participation inequality (G = 0.1708).</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5.3 Multi-Seed Statistical Hypothesis Testing</w:t>
      </w:r>
    </w:p>
    <w:p>
      <w:pPr>
        <w:spacing w:before="0" w:after="80" w:line="276" w:lineRule="auto"/>
        <w:jc w:val="both"/>
      </w:pPr>
      <w:r>
        <w:rPr>
          <w:rFonts w:ascii="Times New Roman" w:hAnsi="Times New Roman"/>
          <w:b w:val="0"/>
          <w:i w:val="0"/>
        </w:rPr>
        <w:t>To provide rigorous statistical validation beyond five seeds and address small-sample reviewer concerns, we expanded evaluation across ten independent deterministic seeds ([42, 43, 44, 45, 46, 47, 48, 49, 50, 51]) on paired non-stationary client configurations (N=20, K=5, T=15, tau=8). Paired non-parametric Wilcoxon signed-rank tests and paired t-tests were conducted against all baselines:</w:t>
      </w:r>
    </w:p>
    <w:p>
      <w:pPr>
        <w:pStyle w:val="ListBullet"/>
        <w:spacing w:before="0" w:after="40" w:line="276" w:lineRule="auto"/>
        <w:jc w:val="left"/>
      </w:pPr>
      <w:r>
        <w:rPr>
          <w:rFonts w:ascii="Times New Roman" w:hAnsi="Times New Roman"/>
        </w:rPr>
        <w:t>FedQual-CPX vs. Utility Greedy (B2): A statistically significant difference is established (p = 0.0039, Wilcoxon W = 1.0; paired t = -4.27, p = 0.0021, Cohen's d = -1.87). Greedy utility exploitation produces higher model accuracy (38.71% vs. 33.22%) but incurs severe client starvation (G = 0.7489, coverage 26.0%).</w:t>
      </w:r>
    </w:p>
    <w:p>
      <w:pPr>
        <w:pStyle w:val="ListBullet"/>
        <w:spacing w:before="0" w:after="40" w:line="276" w:lineRule="auto"/>
        <w:jc w:val="left"/>
      </w:pPr>
      <w:r>
        <w:rPr>
          <w:rFonts w:ascii="Times New Roman" w:hAnsi="Times New Roman"/>
        </w:rPr>
        <w:t>FedQual-CPX vs. Oort (B9): FedQual-CPX demonstrates a +2.55% mean accuracy advantage over Oort (33.22% [31.79, 34.57] vs. 30.67% [25.58, 34.26], Cohen's d = 0.478, Wilcoxon W = 21.0, p = 0.5566), while maintaining substantially lower participation inequality (G = 0.2257 vs. 0.4712) and full client coverage (100% vs. 90%).</w:t>
      </w:r>
    </w:p>
    <w:p>
      <w:pPr>
        <w:pStyle w:val="ListBullet"/>
        <w:spacing w:before="0" w:after="40" w:line="276" w:lineRule="auto"/>
        <w:jc w:val="left"/>
      </w:pPr>
      <w:r>
        <w:rPr>
          <w:rFonts w:ascii="Times New Roman" w:hAnsi="Times New Roman"/>
        </w:rPr>
        <w:t>FedQual-CPX vs. Random (B0): The mean difference across 10 seeds is negligible at -0.86% (33.22% vs. 34.08%, Cohen's d = -0.255, Wilcoxon W = 19.0, p = 0.4316), confirming that adaptive selection cannot statistically outperform uniform random under partial observability.</w:t>
      </w:r>
    </w:p>
    <w:p>
      <w:pPr>
        <w:pStyle w:val="ListBullet"/>
        <w:spacing w:before="0" w:after="40" w:line="276" w:lineRule="auto"/>
        <w:jc w:val="left"/>
      </w:pPr>
      <w:r>
        <w:rPr>
          <w:rFonts w:ascii="Times New Roman" w:hAnsi="Times New Roman"/>
        </w:rPr>
        <w:t>FedQual-CPX vs. Fixed Exploration (B4): Performance remains statistically indistinguishable (mean difference -0.81%, p = 0.6250, Cohen's d = -0.300).</w:t>
      </w:r>
    </w:p>
    <w:p>
      <w:pPr>
        <w:keepNext/>
        <w:spacing w:before="160" w:after="60"/>
      </w:pPr>
      <w:r>
        <w:rPr>
          <w:rFonts w:ascii="Times New Roman" w:hAnsi="Times New Roman"/>
          <w:b/>
          <w:i/>
          <w:color w:val="282828"/>
          <w:sz w:val="21"/>
        </w:rPr>
        <w:t>5.4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36.58 [30.6, 40.5]</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30.79 [28.5,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31.80 [31.0, 32.5]</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29.04 [26.9,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0.5051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42.86 [41.2, 44.0]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37.95 [36.2, 39.1]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0.0973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41.80 [40.4, 43.6]</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37.03 [35.5, 39.2]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0.4483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44.96 [44.3, 45.8]</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39.14 [37.0, 40.3]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0.0729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43.71 [43.3, 44.3]</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38.38 [37.3, 40.0]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0.3562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45.53 [44.3, 46.3]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40.77 [40.1, 41.4]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0.0590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44.96 [44.8, 45.2]</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40.23 [39.6, 40.9]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0.2711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across sampling ratios rho in {0.05, 0.10, 0.25, 0.36, 0.50} on CIFAR-10 (T=100 rounds, 3 seeds per condition).</w:t>
      </w:r>
    </w:p>
    <w:p>
      <w:pPr>
        <w:spacing w:before="0" w:after="80" w:line="276" w:lineRule="auto"/>
        <w:jc w:val="both"/>
      </w:pPr>
      <w:r>
        <w:rPr>
          <w:rFonts w:ascii="Times New Roman" w:hAnsi="Times New Roman"/>
          <w:b w:val="0"/>
          <w:i w:val="0"/>
        </w:rPr>
        <w:t>Table 6 empirically validates this predicted barrier across the full participation spectrum rho in {0.05, 0.10, 0.25, 0.36, 0.50} on full multi-seed 100-round evaluations (N=100, T=100, 3 seeds per condition). Here, rho* approx 0.36 represents the analytical threshold derived from the renewal delay model where expected post-drift observations first suffice to register a distribution change before training concludes. At severe partial observability (rho = 0.05), Random selection achieves a 5.94% advantage in final accuracy (33.08% vs. 27.14%) because the theoretical detection delay of 220 rounds far exceeds the entire 100-round budget. Doubling observability to rho = 0.10 narrows the deficit to 4.78% (36.58% vs. 31.80%). As sampling density increases toward and past rho*, observation latency contracts from over 200 rounds to under 25 rounds. Consequently, the accuracy deficit narrows monotonically: to 1.06% at rho = 0.25, 1.25% at rho = 0.36, and essentially reaches parity at rho = 0.50 (45.53% vs. 44.96%, a marginal difference of 0.57% with overlapping 95% bootstrap confidence intervals: [44.27, 46.29]% vs. [44.76, 45.16]%). Concurrently, participation Gini inequality under FedQual-CPX drops from 0.5051 at rho = 0.10 down to 0.2711 at rho = 0.50. In practical federated deployments, operating at rho &gt;= 0.36 requires sampling more than a third of the edge population in every cycle, violating standard mobile bandwidth limits. Tracking the full participation spectrum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