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shows that this strategy encounters a fundamental partial observability barrier. Under realistic sampling rates where the server inspects only a small fraction of clients, sequential detection delay inflates by the inverse sampling ratio. The detector can't collect sufficient consecutive observations to verify distribution changes before training concludes. Across multi-seed evaluations on CIFAR-10 and FEMNIST,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several consecutive measurements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showing that detection latency inflates by the inverse participation ratio under partial observability.</w:t>
        <w:br/>
        <w:t>2. It demonstrates across CIFAR-10 and FEMNIST that uniform random selection outperforms change-aware selection under realistic participation rates.</w:t>
        <w:br/>
        <w:t>3. It reveals the cross-sectional normalization trap, explaining how round-level median scaling masks correlated drift across concurrent clients.</w:t>
        <w:br/>
        <w:t>4. It identifies the participation crossover threshold where change-point detection transitions from an inert mechanism to an active performance advantage.</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training speed.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120" w:after="40"/>
        <w:jc w:val="center"/>
      </w:pPr>
      <w:r>
        <w:drawing>
          <wp:inline xmlns:a="http://schemas.openxmlformats.org/drawingml/2006/main" xmlns:pic="http://schemas.openxmlformats.org/drawingml/2006/picture">
            <wp:extent cx="5029200" cy="3448594"/>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448594"/>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Table 1 connects these sample delays to actual federated communication rounds at N=100 and K=10. For moderate utility shifts (Delta = 0.50), a cumulative sum detector requires approximately 10.92 observations. Under N/K = 10, this requirement translates to 109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5.06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Triggers at end</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10.92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109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32.38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324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When normalization operates across contemporaneous clients in round t, drifting clients don't appear as outliers relative to their peers. When thirty percent of edge devices drift simultaneously, the round median drops in tandem with the drifting devices. Their normalized z-scores remain close to zero. Consequently, cross-sectional normalization masks common-mode drift, suppressing the input signal that sequential detectors need.</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Five deterministic seeds (42, 43, 44, 45, 46) are executed for each policy.</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26.41 [24.7, 28.1]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25.21 [22.3, 28.2]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25.65 [23.0, 27.9]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31.53 [29.6, 32.9]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37.23 [33.8,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31.54 [28.9, 34.8]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37.58 [35.3,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32.67 [30.7, 35.3]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35.16 [32.1, 37.7]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31.41 [29.7, 33.6]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33.37 [32.2, 34.4]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30.90 [29.5, 32.0]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across five random seeds (mean and 95% bootstrap CI).</w:t>
      </w:r>
    </w:p>
    <w:p>
      <w:pPr>
        <w:spacing w:before="0" w:after="80" w:line="276" w:lineRule="auto"/>
        <w:jc w:val="both"/>
      </w:pPr>
      <w:r>
        <w:rPr>
          <w:rFonts w:ascii="Times New Roman" w:hAnsi="Times New Roman"/>
          <w:b w:val="0"/>
          <w:i w:val="0"/>
        </w:rPr>
        <w:t>Under abrupt class swap drift, uniform random selection achieves 26.41% post-drift recovery accuracy and 36.80% final accuracy. FedQual-CPX achieves 25.64% recovery accuracy and 33.24% final accuracy. The change-aware policy doesn't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and FedQual-CPX (B8) achieve identical test metrics across all seeds to four decimal places. Both policies yield 33.24% final accuracy, 25.64% recovery accuracy, and 0.4846 Gini coefficient. Swapping the sequential detector produces no downstream performance difference. The detector is inert because unselected clients have high staleness and uncertainty bonuses that outscore newly flagged devices for exploration slots.</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0.4846.</w:t>
      </w:r>
    </w:p>
    <w:p>
      <w:pPr>
        <w:keepNext/>
        <w:spacing w:before="160" w:after="60"/>
      </w:pPr>
      <w:r>
        <w:rPr>
          <w:rFonts w:ascii="Times New Roman" w:hAnsi="Times New Roman"/>
          <w:b/>
          <w:i/>
          <w:color w:val="282828"/>
          <w:sz w:val="21"/>
        </w:rPr>
        <w:t>5.2 LEAF FEMNIST Benchmark</w:t>
      </w:r>
    </w:p>
    <w:p>
      <w:pPr>
        <w:spacing w:before="0" w:after="80" w:line="276" w:lineRule="auto"/>
        <w:jc w:val="both"/>
      </w:pPr>
      <w:r>
        <w:rPr>
          <w:rFonts w:ascii="Times New Roman" w:hAnsi="Times New Roman"/>
          <w:b w:val="0"/>
          <w:i w:val="0"/>
        </w:rPr>
        <w:t>Table 3 reports benchmark results on the 62-class FEMNIST dataset using a convolutional architecture across fifty thousand training samples.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LEAF FEMNIST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leaf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LEAF FEMNIST benchmark.</w:t>
      </w:r>
    </w:p>
    <w:p>
      <w:pPr>
        <w:spacing w:before="0" w:after="80" w:line="276" w:lineRule="auto"/>
        <w:jc w:val="both"/>
      </w:pPr>
      <w:r>
        <w:rPr>
          <w:rFonts w:ascii="Times New Roman" w:hAnsi="Times New Roman"/>
          <w:b w:val="0"/>
          <w:i w:val="0"/>
        </w:rPr>
        <w:t>On FEMNIST,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w:t>
      </w:r>
    </w:p>
    <w:p>
      <w:pPr>
        <w:spacing w:before="0" w:after="80" w:line="276" w:lineRule="auto"/>
        <w:jc w:val="both"/>
      </w:pPr>
      <w:r>
        <w:rPr>
          <w:rFonts w:ascii="Times New Roman" w:hAnsi="Times New Roman"/>
          <w:b w:val="0"/>
          <w:i w:val="0"/>
        </w:rPr>
        <w:t>Table 5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Robustness stress-testing across non-IID skew and drift fractions.</w:t>
      </w:r>
    </w:p>
    <w:p>
      <w:pPr>
        <w:keepNext/>
        <w:spacing w:before="240" w:after="80"/>
      </w:pPr>
      <w:r>
        <w:rPr>
          <w:rFonts w:ascii="Times New Roman" w:hAnsi="Times New Roman"/>
          <w:b/>
          <w:color w:val="14325A"/>
          <w:sz w:val="24"/>
        </w:rPr>
        <w:t>7. The Participation Crossover Threshold</w:t>
      </w:r>
    </w:p>
    <w:p>
      <w:pPr>
        <w:spacing w:before="0" w:after="80" w:line="276" w:lineRule="auto"/>
        <w:jc w:val="both"/>
      </w:pPr>
      <w:r>
        <w:rPr>
          <w:rFonts w:ascii="Times New Roman" w:hAnsi="Times New Roman"/>
          <w:b w:val="0"/>
          <w:i w:val="0"/>
        </w:rPr>
        <w:t>The negative performance of change-aware selection raises an important question: at what participation ratio does change detection become beneficial? To answer this question, consider the participation ratio rho = K / N. By Theorem 1,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hyperparameters (tau_obs = 11, T - tau = 50, gamma = 0.6), the critical participation threshold is rho* = 11 / (0.6 * 50) = 0.36. When rho &lt; 0.36, the server doesn't observe clients frequently enough to catch drift before training ends. Random selection wins because its unbiased sampling avoids observation delays. When rho &gt;= 0.25, detection delay drops significantly, enabling change-point selection to overtake random sampling.</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15.04%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0.3747</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84.0%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12.33%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0.5961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69.0%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0.25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14.13%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14.13%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0.2307</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98.0%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0.25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16.21%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15.86%</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0.2325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Empirical participation crossover sweep results on CIFAR-10.</w:t>
      </w:r>
    </w:p>
    <w:p>
      <w:pPr>
        <w:spacing w:before="0" w:after="80" w:line="276" w:lineRule="auto"/>
        <w:jc w:val="both"/>
      </w:pPr>
      <w:r>
        <w:rPr>
          <w:rFonts w:ascii="Times New Roman" w:hAnsi="Times New Roman"/>
          <w:b w:val="0"/>
          <w:i w:val="0"/>
        </w:rPr>
        <w:t>Table 6 validates this transition empirically. At rho = 0.10, Random selection achieves higher best accuracy (15.04% vs 12.33%) and broader client coverage (84.0% vs 69.0%). However, once participation rises to rho = 0.25, FedQual-CPX overtakes Random selection on both best accuracy (16.21% vs 14.13%) and final accuracy (15.86% vs 14.13%), achieving full client coverage (100.0%). Observation latency drops below the post-drift horizon, allowing change-point selection to provide an active advantage.</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FEMNIST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https://github.com/Talhaasif7/FedQual-CPX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