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0"/>
        </w:rPr>
        <w:t>Adaptive Client Selection for Concept Drift in Federated Learning</w:t>
      </w:r>
    </w:p>
    <w:p>
      <w:pPr>
        <w:spacing w:after="280"/>
        <w:jc w:val="center"/>
      </w:pPr>
      <w:r>
        <w:rPr>
          <w:rFonts w:ascii="Times New Roman" w:hAnsi="Times New Roman"/>
          <w:b/>
          <w:sz w:val="22"/>
        </w:rPr>
        <w:t>Anonymous Authors</w:t>
        <w:br/>
      </w:r>
      <w:r>
        <w:rPr>
          <w:rFonts w:ascii="Times New Roman" w:hAnsi="Times New Roman"/>
          <w:i/>
          <w:sz w:val="20"/>
        </w:rPr>
        <w:t>Paper Under Double-Blind Review for ICACS Conference</w:t>
      </w:r>
    </w:p>
    <w:p>
      <w:pPr>
        <w:spacing w:after="120"/>
        <w:ind w:left="432" w:right="432"/>
        <w:jc w:val="both"/>
      </w:pPr>
      <w:r>
        <w:rPr>
          <w:b/>
          <w:i/>
        </w:rPr>
        <w:t xml:space="preserve">Abstract— </w:t>
      </w:r>
      <w:r>
        <w:t>Edge devices in federated learning don't keep stationary data distributions over long deployment horizons. They face sudden concept shifts, sensor degradation, and seasonal label variations. Under standard bandwidth limits, a central server only talks to a small fraction of clients in each round. Unselected clients can't report their state, so the server doesn't observe them. Common greedy selection schemes pick the same top clients repeatedly. That causes severe client starvation, leaving most edge clients unselected. Stagnant clients don't get checked, so the system won't catch recovery when conditions change. This paper studies FedQual-CPX, an adaptive client selection framework for non-stationary federated networks. The system tracks local loss improvements, scales them with causal median absolute deviation normalization, and spots shifts using two-sided cumulative sum detectors. An adaptive exploration controller raises sampling rates when drift happens, while staleness scoring pulls forgotten clients back into training. Across experiments on CIFAR-10, FEMNIST, and Shakespeare with five random seeds, the proposed policy maintains full client participation. It cuts participation inequality by up to fifty-four percent compared to greedy selection and preserves post-drift recovery.</w:t>
      </w:r>
    </w:p>
    <w:p>
      <w:pPr>
        <w:spacing w:after="280"/>
        <w:ind w:left="432" w:right="432"/>
      </w:pPr>
      <w:r>
        <w:rPr>
          <w:b/>
          <w:i/>
        </w:rPr>
        <w:t xml:space="preserve">Keywords— </w:t>
      </w:r>
      <w:r>
        <w:t>Federated learning, concept drift, client selection, change point detection, participation fairness.</w:t>
      </w:r>
    </w:p>
    <w:p>
      <w:pPr>
        <w:spacing w:before="240" w:after="80"/>
      </w:pPr>
      <w:r>
        <w:rPr>
          <w:b/>
          <w:sz w:val="22"/>
        </w:rPr>
        <w:t>1. Introduction</w:t>
      </w:r>
    </w:p>
    <w:p>
      <w:pPr>
        <w:spacing w:after="100" w:line="276" w:lineRule="auto"/>
        <w:jc w:val="both"/>
      </w:pPr>
      <w:r>
        <w:t>Federated learning lets edge devices train a shared model without sending raw records to a central facility [1]. Smartphones, medical scanners, and connected vehicles compute updates locally and send parameter differences back to a coordination server [2]. But real edge deployments don't stay steady over time. Client data distributions drift because user habits change, lighting shifts, and physical sensors slowly degrade.</w:t>
      </w:r>
    </w:p>
    <w:p>
      <w:pPr>
        <w:spacing w:after="100" w:line="276" w:lineRule="auto"/>
        <w:jc w:val="both"/>
      </w:pPr>
      <w:r>
        <w:t>Partial observability makes client selection difficult under concept drift. The server doesn't see every client in every communication round. Bandwidth constraints force the server to pick only ten out of a hundred clients per round. When a client isn't picked, its current data distribution and loss gain stay completely hidden. A missing observation isn't a zero. It is simply unknown.</w:t>
      </w:r>
    </w:p>
    <w:p>
      <w:pPr>
        <w:spacing w:after="100" w:line="276" w:lineRule="auto"/>
        <w:jc w:val="both"/>
      </w:pPr>
      <w:r>
        <w:t>Prior selection methods struggle with this partial observability. Lai et al. [2] show that greedy utility sampling speeds up model training in static settings. Yet under concept drift, greedy selection traps the server in a narrow clique of previously strong devices. Stale clients don't get revisited, and newly improved clients can't show their worth. Li et al. [3] study optimization under device heterogeneity, but their setup doesn't handle temporal distribution shifts. Standard random selection explores every client evenly, but it doesn't exploit high-performing devices effectively.</w:t>
      </w:r>
    </w:p>
    <w:p>
      <w:pPr>
        <w:spacing w:after="100" w:line="276" w:lineRule="auto"/>
        <w:jc w:val="both"/>
      </w:pPr>
      <w:r>
        <w:t>This paper presents FedQual-CPX, an adaptive selection framework that explicitly handles partial observability under concept drift. Instead of relying on static rules, the server tracks loss improvements, flags distribution shifts with sequential cumulative sum tests, and adapts exploration rates dynamically. Neglected clients aren't abandoned. They get pulled back into training before selection biases harden.</w:t>
      </w:r>
    </w:p>
    <w:p>
      <w:pPr>
        <w:spacing w:after="100" w:line="276" w:lineRule="auto"/>
        <w:jc w:val="both"/>
      </w:pPr>
      <w:r>
        <w:t>The main findings of this work show three clear patterns:</w:t>
        <w:br/>
        <w:t>1. Greedy client selection collapses in non-stationary networks. It starves eighty to ninety percent of available devices and locks into high participation inequality.</w:t>
        <w:br/>
        <w:t>2. Sequential change detection paired with dynamic exploration restores full client coverage across all tested benchmarks without hurting global accuracy.</w:t>
        <w:br/>
        <w:t>3. Causal median absolute deviation scaling stabilizes utility tracking across diverse network architectures without leaking future observations.</w:t>
      </w:r>
    </w:p>
    <w:p>
      <w:pPr>
        <w:spacing w:before="240" w:after="80"/>
      </w:pPr>
      <w:r>
        <w:rPr>
          <w:b/>
          <w:sz w:val="22"/>
        </w:rPr>
        <w:t>2. Problem Formulation</w:t>
      </w:r>
    </w:p>
    <w:p>
      <w:pPr>
        <w:spacing w:after="100" w:line="276" w:lineRule="auto"/>
        <w:jc w:val="both"/>
      </w:pPr>
      <w:r>
        <w:t>A federated system trains over N edge devices indexed by i in {1, ..., N}. Each device holds a local dataset D_{i,t} that may change across communication rounds t in {1, ..., T}. In round t, the server selects a cohort S_t containing |S_t| = K &lt;&lt; N clients.</w:t>
      </w:r>
    </w:p>
    <w:p>
      <w:pPr>
        <w:spacing w:after="100" w:line="276" w:lineRule="auto"/>
        <w:jc w:val="both"/>
      </w:pPr>
      <w:r>
        <w:t>Clients in S_t download global parameters w_t, run local stochastic gradient descent, and upload local parameters w_{i,t}. Following the formulation in McMahan et al. [1], the server aggregates parameter updates through sample-weighted averaging:</w:t>
      </w:r>
    </w:p>
    <w:p>
      <w:pPr>
        <w:spacing w:before="80" w:after="80"/>
        <w:jc w:val="center"/>
      </w:pPr>
      <w:r>
        <w:rPr>
          <w:i/>
        </w:rPr>
        <w:t>w_{t+1} = sum_{i in S_t} (n_i / sum_{j in S_t} n_j) * w_{i,t}</w:t>
      </w:r>
    </w:p>
    <w:p>
      <w:pPr>
        <w:spacing w:after="100" w:line="276" w:lineRule="auto"/>
        <w:jc w:val="both"/>
      </w:pPr>
      <w:r>
        <w:t>Raw gradient norms don't tell whether local training actually helped the global objective. This paper defines client utility as the empirical loss gain achieved locally:</w:t>
      </w:r>
    </w:p>
    <w:p>
      <w:pPr>
        <w:spacing w:before="80" w:after="80"/>
        <w:jc w:val="center"/>
      </w:pPr>
      <w:r>
        <w:rPr>
          <w:i/>
        </w:rPr>
        <w:t>u_{i,t} = L_i(w_t; D_{i,t}) - L_i(w_{i,t}; D_{i,t})</w:t>
      </w:r>
    </w:p>
    <w:p>
      <w:pPr>
        <w:spacing w:after="100" w:line="276" w:lineRule="auto"/>
        <w:jc w:val="both"/>
      </w:pPr>
      <w:r>
        <w:t>A positive value u_{i,t} &gt; 0 marks constructive progress. A negative value indicates harmful updates, such as corrupted labels or noise. When client i is not in S_t, its utility isn't observed. The server doesn't set missing values to zero because doing so would mimic severe model degradation.</w:t>
      </w:r>
    </w:p>
    <w:p>
      <w:pPr>
        <w:spacing w:before="240" w:after="80"/>
      </w:pPr>
      <w:r>
        <w:rPr>
          <w:b/>
          <w:sz w:val="22"/>
        </w:rPr>
        <w:t>3. Methodology</w:t>
      </w:r>
    </w:p>
    <w:p>
      <w:pPr>
        <w:spacing w:before="160" w:after="40"/>
        <w:jc w:val="center"/>
      </w:pPr>
      <w:r>
        <w:drawing>
          <wp:inline xmlns:a="http://schemas.openxmlformats.org/drawingml/2006/main" xmlns:pic="http://schemas.openxmlformats.org/drawingml/2006/picture">
            <wp:extent cx="5669280" cy="3493193"/>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669280" cy="3493193"/>
                    </a:xfrm>
                    <a:prstGeom prst="rect"/>
                  </pic:spPr>
                </pic:pic>
              </a:graphicData>
            </a:graphic>
          </wp:inline>
        </w:drawing>
      </w:r>
    </w:p>
    <w:p>
      <w:pPr>
        <w:spacing w:after="160"/>
        <w:jc w:val="center"/>
      </w:pPr>
      <w:r>
        <w:rPr>
          <w:b/>
          <w:sz w:val="18"/>
        </w:rPr>
        <w:t>Fig. 1. System architecture of the adaptive federated client selection framework.</w:t>
      </w:r>
    </w:p>
    <w:p>
      <w:pPr>
        <w:spacing w:after="100" w:line="276" w:lineRule="auto"/>
        <w:jc w:val="both"/>
      </w:pPr>
      <w:r>
        <w:t>Fig. 1 presents the overall architecture of FedQual-CPX. The server coordinates parameter broadcast, tracks historical loss gains, and balances exploration against exploitation in every communication cycle.</w:t>
      </w:r>
    </w:p>
    <w:p>
      <w:pPr>
        <w:spacing w:before="160" w:after="40"/>
      </w:pPr>
      <w:r>
        <w:rPr>
          <w:b/>
          <w:i/>
          <w:sz w:val="21"/>
        </w:rPr>
        <w:t>3.1 Client Utility and Robust Normalization</w:t>
      </w:r>
    </w:p>
    <w:p>
      <w:pPr>
        <w:spacing w:after="100" w:line="276" w:lineRule="auto"/>
        <w:jc w:val="both"/>
      </w:pPr>
      <w:r>
        <w:t>Different edge devices don't have identical loss scales. A device with complex images can report large loss drops, while a device with clean data reports small drops. Standard z-score scaling breaks down when sudden outliers appear, and min-max scaling collapses on boundary points.</w:t>
      </w:r>
    </w:p>
    <w:p>
      <w:pPr>
        <w:spacing w:after="100" w:line="276" w:lineRule="auto"/>
        <w:jc w:val="both"/>
      </w:pPr>
      <w:r>
        <w:t>In the tradition of Huber [6], FedQual-CPX applies causal Median Absolute Deviation (MAD) normalization. The server computes running statistics using only past observations H_i(t) for client i:</w:t>
      </w:r>
    </w:p>
    <w:p>
      <w:pPr>
        <w:spacing w:before="80" w:after="80"/>
        <w:jc w:val="center"/>
      </w:pPr>
      <w:r>
        <w:rPr>
          <w:i/>
        </w:rPr>
        <w:t>mu_{i,t} = median({u_{i,tau}}),  MAD_{i,t} = median(|u_{i,tau} - mu_{i,t}|) + 1e-6</w:t>
      </w:r>
    </w:p>
    <w:p>
      <w:pPr>
        <w:spacing w:before="80" w:after="80"/>
        <w:jc w:val="center"/>
      </w:pPr>
      <w:r>
        <w:rPr>
          <w:i/>
        </w:rPr>
        <w:t>u~_{i,t} = clip( (u_{i,t} - mu_{i,t}) / (1.4826 * MAD_{i,t}), -3.0, 3.0 )</w:t>
      </w:r>
    </w:p>
    <w:p>
      <w:pPr>
        <w:spacing w:after="100" w:line="276" w:lineRule="auto"/>
        <w:jc w:val="both"/>
      </w:pPr>
      <w:r>
        <w:t>This causal clipping prevents future leakage. Outliers can't distort historical baselines, and clean updates don't get squashed.</w:t>
      </w:r>
    </w:p>
    <w:p>
      <w:pPr>
        <w:spacing w:before="160" w:after="40"/>
      </w:pPr>
      <w:r>
        <w:rPr>
          <w:b/>
          <w:i/>
          <w:sz w:val="21"/>
        </w:rPr>
        <w:t>3.2 Sequential Drift Detection</w:t>
      </w:r>
    </w:p>
    <w:p>
      <w:pPr>
        <w:spacing w:before="160" w:after="40"/>
        <w:jc w:val="center"/>
      </w:pPr>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detection_and_adaptation_flow.png"/>
                    <pic:cNvPicPr/>
                  </pic:nvPicPr>
                  <pic:blipFill>
                    <a:blip r:embed="rId10"/>
                    <a:stretch>
                      <a:fillRect/>
                    </a:stretch>
                  </pic:blipFill>
                  <pic:spPr>
                    <a:xfrm>
                      <a:off x="0" y="0"/>
                      <a:ext cx="5669280" cy="3092335"/>
                    </a:xfrm>
                    <a:prstGeom prst="rect"/>
                  </pic:spPr>
                </pic:pic>
              </a:graphicData>
            </a:graphic>
          </wp:inline>
        </w:drawing>
      </w:r>
    </w:p>
    <w:p>
      <w:pPr>
        <w:spacing w:after="160"/>
        <w:jc w:val="center"/>
      </w:pPr>
      <w:r>
        <w:rPr>
          <w:b/>
          <w:sz w:val="18"/>
        </w:rPr>
        <w:t>Fig. 2. Sequential change detection and adaptive exploration decision flow.</w:t>
      </w:r>
    </w:p>
    <w:p>
      <w:pPr>
        <w:spacing w:after="100" w:line="276" w:lineRule="auto"/>
        <w:jc w:val="both"/>
      </w:pPr>
      <w:r>
        <w:t>Fig. 2 outlines the decision flow for individual client streams. Following Page [4], the server runs a two-sided sequential cumulative sum (CUSUM) test on normalized utility values:</w:t>
      </w:r>
    </w:p>
    <w:p>
      <w:pPr>
        <w:spacing w:before="80" w:after="80"/>
        <w:jc w:val="center"/>
      </w:pPr>
      <w:r>
        <w:rPr>
          <w:i/>
        </w:rPr>
        <w:t>S_{i,t}^+ = max(0, S_{i,t-1}^+ + (u~_{i,t} - delta/2)),   S_{i,t}^- = max(0, S_{i,t-1}^- - (u~_{i,t} + delta/2))</w:t>
      </w:r>
    </w:p>
    <w:p>
      <w:pPr>
        <w:spacing w:after="100" w:line="276" w:lineRule="auto"/>
        <w:jc w:val="both"/>
      </w:pPr>
      <w:r>
        <w:t>Here, parameter delta = 0.5 sets the minimum detectable shift size. When the accumulator crosses threshold h_th = 5.0, the server marks a change event, resets both accumulators to zero, and updates a global drift frequency counter D_t.</w:t>
      </w:r>
    </w:p>
    <w:p>
      <w:pPr>
        <w:spacing w:before="160" w:after="40"/>
      </w:pPr>
      <w:r>
        <w:rPr>
          <w:b/>
          <w:i/>
          <w:sz w:val="21"/>
        </w:rPr>
        <w:t>3.3 Adaptive Exploration and Selection Policy</w:t>
      </w:r>
    </w:p>
    <w:p>
      <w:pPr>
        <w:spacing w:after="100" w:line="276" w:lineRule="auto"/>
        <w:jc w:val="both"/>
      </w:pPr>
      <w:r>
        <w:t>Fixed exploration rates don't adjust to network stability. When data distributions stay quiet, random exploration wastes bandwidth on known weak clients. When concept drift strikes, fixed exploration isn't aggressive enough to uncover shifted devices.</w:t>
      </w:r>
    </w:p>
    <w:p>
      <w:pPr>
        <w:spacing w:after="100" w:line="276" w:lineRule="auto"/>
        <w:jc w:val="both"/>
      </w:pPr>
      <w:r>
        <w:t>The server calculates an adaptive exploration probability eps_t in [0.05, 0.50]:</w:t>
      </w:r>
    </w:p>
    <w:p>
      <w:pPr>
        <w:spacing w:before="80" w:after="80"/>
        <w:jc w:val="center"/>
      </w:pPr>
      <w:r>
        <w:rPr>
          <w:i/>
        </w:rPr>
        <w:t>eps_t = clip( eps_base + gamma_d * D_t + gamma_u * U_t, 0.05, 0.50 )</w:t>
      </w:r>
    </w:p>
    <w:p>
      <w:pPr>
        <w:spacing w:after="100" w:line="276" w:lineRule="auto"/>
        <w:jc w:val="both"/>
      </w:pPr>
      <w:r>
        <w:t>where U_t represents average client staleness across the population. In each round, the server splits cohort size K into exploitation K_exploit = floor((1 - eps_t) * K) and exploration K_explore = K - K_exploit.</w:t>
      </w:r>
    </w:p>
    <w:p>
      <w:pPr>
        <w:spacing w:after="100" w:line="276" w:lineRule="auto"/>
        <w:jc w:val="both"/>
      </w:pPr>
      <w:r>
        <w:t>For exploitation, the server ranks observed clients using their normalized score plus a transient change bonus beta_c = 1.0:</w:t>
        <w:br/>
        <w:t>Score_i^{exploit} = mu_{i,t} + beta_c * 1_{drift_i}.</w:t>
        <w:br/>
        <w:t>For exploration, the server picks from the unselected pool based on staleness (t - tau_i^{last}) and utility uncertainty sigma_{i,t}:</w:t>
        <w:br/>
        <w:t>Score_i^{explore} = (t - tau_i^{last}) + lambda_u * sigma_{i,t}.</w:t>
        <w:br/>
        <w:t>Forgotten clients don't stay hidden forever. They get selected automatically when their staleness score climbs. Simple as that.</w:t>
      </w:r>
    </w:p>
    <w:p>
      <w:pPr>
        <w:spacing w:before="240" w:after="80"/>
      </w:pPr>
      <w:r>
        <w:rPr>
          <w:b/>
          <w:sz w:val="22"/>
        </w:rPr>
        <w:t>4. Experimental Setup</w:t>
      </w:r>
    </w:p>
    <w:p>
      <w:pPr>
        <w:spacing w:before="160" w:after="40"/>
      </w:pPr>
      <w:r>
        <w:rPr>
          <w:b/>
          <w:i/>
          <w:sz w:val="21"/>
        </w:rPr>
        <w:t>4.1 Datasets and Partitioning</w:t>
      </w:r>
    </w:p>
    <w:p>
      <w:pPr>
        <w:spacing w:after="100" w:line="276" w:lineRule="auto"/>
        <w:jc w:val="both"/>
      </w:pPr>
      <w:r>
        <w:t>Experiments test three standard benchmarks:</w:t>
        <w:br/>
        <w:t>• CIFAR-10: Fifty thousand training images across ten image categories. Non-IID partitions follow Dirichlet distribution with concentration alpha = 0.5 across N=100 clients.</w:t>
        <w:br/>
        <w:t>• LEAF FEMNIST: Sixty-two handwritten character classes based on Caldas et al. [5], capturing realistic user handwriting variations across natural non-IID splits.</w:t>
        <w:br/>
        <w:t>• LEAF Shakespeare: Recurrent character-level dialogue prediction across speaking roles with a vocabulary of ninety tokens [5].</w:t>
      </w:r>
    </w:p>
    <w:p>
      <w:pPr>
        <w:spacing w:before="160" w:after="40"/>
      </w:pPr>
      <w:r>
        <w:rPr>
          <w:b/>
          <w:i/>
          <w:sz w:val="21"/>
        </w:rPr>
        <w:t>4.2 Non-Stationary Drift Regimes</w:t>
      </w:r>
    </w:p>
    <w:p>
      <w:pPr>
        <w:spacing w:after="100" w:line="276" w:lineRule="auto"/>
        <w:jc w:val="both"/>
      </w:pPr>
      <w:r>
        <w:t>This paper tests three distinct non-stationary drift environments:</w:t>
        <w:br/>
        <w:t>1. Abrupt Class Swap: At round tau=50, thirty percent of edge clients experience label permutation.</w:t>
        <w:br/>
        <w:t>2. Continuous Feature Shift: At round tau=50, thirty percent of clients receive continuous Gaussian covariate noise clamped to valid pixel ranges.</w:t>
        <w:br/>
        <w:t>3. Gradual Linear Drift: Across rounds [30, 70], sample distributions interpolate linearly between source and target distributions using a dynamic probability ramp.</w:t>
      </w:r>
    </w:p>
    <w:p>
      <w:pPr>
        <w:spacing w:before="160" w:after="40"/>
      </w:pPr>
      <w:r>
        <w:rPr>
          <w:b/>
          <w:i/>
          <w:sz w:val="21"/>
        </w:rPr>
        <w:t>4.3 Baselines and Evaluation Metrics</w:t>
      </w:r>
    </w:p>
    <w:p>
      <w:pPr>
        <w:spacing w:after="100" w:line="276" w:lineRule="auto"/>
        <w:jc w:val="both"/>
      </w:pPr>
      <w:r>
        <w:t>The baseline suite includes standard random selection (FedAvg B0), utility greedy selection (B2), sliding window tracking with window length ten (B3), fixed exploration with fifteen percent random perturbation (B4), and Page-Hinckley adaptive selection (B6) representing FLEX principles. Every method runs for T=100 rounds with K=10 selections per round across five deterministic random seeds (42, 43, 44, 45, 46). Source code is public [10].</w:t>
        <w:br/>
        <w:br/>
        <w:t>Evaluation tracks: Final Test Accuracy (%), Post-Drift Recovery Accuracy (%), Participation Gini Index (lower is fairer), and Client Coverage (%).</w:t>
      </w:r>
    </w:p>
    <w:p>
      <w:pPr>
        <w:spacing w:before="240" w:after="80"/>
      </w:pPr>
      <w:r>
        <w:rPr>
          <w:b/>
          <w:sz w:val="22"/>
        </w:rPr>
        <w:t>5. Results and Discussion</w:t>
      </w:r>
    </w:p>
    <w:p>
      <w:pPr>
        <w:spacing w:before="160" w:after="40"/>
      </w:pPr>
      <w:r>
        <w:rPr>
          <w:b/>
          <w:i/>
          <w:sz w:val="21"/>
        </w:rPr>
        <w:t>5.1 Multi-Drift Performance on CIFAR-10</w:t>
      </w:r>
    </w:p>
    <w:p>
      <w:pPr>
        <w:spacing w:after="100" w:line="276" w:lineRule="auto"/>
        <w:jc w:val="both"/>
      </w:pPr>
      <w:r>
        <w:t>Table 1 reports performance across the three drift regimes on CIFAR-10. Under abrupt class swap, utility greedy selection B2 reaches 38.35% final accuracy, but it produces a catastrophic Gini coefficient of 0.8976. That greedy policy only interacts with twelve clients out of a hundred. Eighty-eight percent of edge devices never train. Sliding window selection B3 behaves similarly, stranding almost ninety clients with a Gini index of 0.8998.</w:t>
      </w:r>
    </w:p>
    <w:p>
      <w:pPr>
        <w:spacing w:after="100" w:line="276" w:lineRule="auto"/>
        <w:jc w:val="both"/>
      </w:pPr>
      <w:r>
        <w:t>FedQual-CPX solves this starvation problem. It achieves one hundred percent client coverage in every run, cutting the Gini inequality coefficient in half to 0.4846. On continuous feature shift, FedQual-CPX reaches 35.44% accuracy, beating fixed exploration B4 by 2.58% while preserving complete client participation. Under gradual linear drift, the adaptive controller smoothly transitions without triggering false alarms, maintaining 30.90% recovery accuracy.</w:t>
      </w:r>
    </w:p>
    <w:p>
      <w:pPr>
        <w:spacing w:before="160" w:after="60"/>
      </w:pPr>
      <w:r>
        <w:rPr>
          <w:b/>
          <w:sz w:val="19"/>
        </w:rPr>
        <w:t>Table 1. Multi-drift modality performance on CIFAR-10 across five random seeds.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Drift Modality</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Selection Method</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Final Accuracy (%)</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Recovery Accuracy (%)</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Gini Index</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Coverage (%)</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Abrupt Class Swap</w:t>
            </w:r>
          </w:p>
        </w:tc>
        <w:tc>
          <w:tcPr>
            <w:tcW w:type="dxa" w:w="1680"/>
            <w:tcBorders>
              <w:top w:sz="4" w:val="single" w:color="CCCCCC"/>
              <w:left w:sz="2" w:val="none" w:color="FFFFFF"/>
              <w:bottom w:sz="4" w:val="single" w:color="CCCCCC"/>
              <w:right w:sz="2" w:val="none" w:color="FFFFFF"/>
            </w:tcBorders>
          </w:tcPr>
          <w:p>
            <w:pPr>
              <w:spacing w:before="40" w:after="40"/>
            </w:pPr>
            <w:r>
              <w:rPr>
                <w:sz w:val="17"/>
              </w:rPr>
              <w:t>Random / FedAvg (B0)</w:t>
            </w:r>
          </w:p>
        </w:tc>
        <w:tc>
          <w:tcPr>
            <w:tcW w:type="dxa" w:w="1680"/>
            <w:tcBorders>
              <w:top w:sz="4" w:val="single" w:color="CCCCCC"/>
              <w:left w:sz="2" w:val="none" w:color="FFFFFF"/>
              <w:bottom w:sz="4" w:val="single" w:color="CCCCCC"/>
              <w:right w:sz="2" w:val="none" w:color="FFFFFF"/>
            </w:tcBorders>
          </w:tcPr>
          <w:p>
            <w:pPr>
              <w:spacing w:before="40" w:after="40"/>
            </w:pPr>
            <w:r>
              <w:rPr>
                <w:sz w:val="17"/>
              </w:rPr>
              <w:t>36.80 [33.66, 39.31]</w:t>
            </w:r>
          </w:p>
        </w:tc>
        <w:tc>
          <w:tcPr>
            <w:tcW w:type="dxa" w:w="1680"/>
            <w:tcBorders>
              <w:top w:sz="4" w:val="single" w:color="CCCCCC"/>
              <w:left w:sz="2" w:val="none" w:color="FFFFFF"/>
              <w:bottom w:sz="4" w:val="single" w:color="CCCCCC"/>
              <w:right w:sz="2" w:val="none" w:color="FFFFFF"/>
            </w:tcBorders>
          </w:tcPr>
          <w:p>
            <w:pPr>
              <w:spacing w:before="40" w:after="40"/>
            </w:pPr>
            <w:r>
              <w:rPr>
                <w:sz w:val="17"/>
              </w:rPr>
              <w:t>26.41 [24.72, 28.09]</w:t>
            </w:r>
          </w:p>
        </w:tc>
        <w:tc>
          <w:tcPr>
            <w:tcW w:type="dxa" w:w="1680"/>
            <w:tcBorders>
              <w:top w:sz="4" w:val="single" w:color="CCCCCC"/>
              <w:left w:sz="2" w:val="none" w:color="FFFFFF"/>
              <w:bottom w:sz="4" w:val="single" w:color="CCCCCC"/>
              <w:right w:sz="2" w:val="none" w:color="FFFFFF"/>
            </w:tcBorders>
          </w:tcPr>
          <w:p>
            <w:pPr>
              <w:spacing w:before="40" w:after="40"/>
            </w:pPr>
            <w:r>
              <w:rPr>
                <w:sz w:val="17"/>
              </w:rPr>
              <w:t>0.1708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(tau=50)</w:t>
            </w:r>
          </w:p>
        </w:tc>
        <w:tc>
          <w:tcPr>
            <w:tcW w:type="dxa" w:w="1680"/>
            <w:tcBorders>
              <w:top w:sz="4" w:val="single" w:color="CCCCCC"/>
              <w:left w:sz="2" w:val="none" w:color="FFFFFF"/>
              <w:bottom w:sz="4" w:val="single" w:color="CCCCCC"/>
              <w:right w:sz="2" w:val="none" w:color="FFFFFF"/>
            </w:tcBorders>
          </w:tcPr>
          <w:p>
            <w:pPr>
              <w:spacing w:before="40" w:after="40"/>
            </w:pPr>
            <w:r>
              <w:rPr>
                <w:sz w:val="17"/>
              </w:rPr>
              <w:t>Utility Greedy (B2)</w:t>
            </w:r>
          </w:p>
        </w:tc>
        <w:tc>
          <w:tcPr>
            <w:tcW w:type="dxa" w:w="1680"/>
            <w:tcBorders>
              <w:top w:sz="4" w:val="single" w:color="CCCCCC"/>
              <w:left w:sz="2" w:val="none" w:color="FFFFFF"/>
              <w:bottom w:sz="4" w:val="single" w:color="CCCCCC"/>
              <w:right w:sz="2" w:val="none" w:color="FFFFFF"/>
            </w:tcBorders>
          </w:tcPr>
          <w:p>
            <w:pPr>
              <w:spacing w:before="40" w:after="40"/>
            </w:pPr>
            <w:r>
              <w:rPr>
                <w:sz w:val="17"/>
              </w:rPr>
              <w:t>38.35 [35.76, 40.48]</w:t>
            </w:r>
          </w:p>
        </w:tc>
        <w:tc>
          <w:tcPr>
            <w:tcW w:type="dxa" w:w="1680"/>
            <w:tcBorders>
              <w:top w:sz="4" w:val="single" w:color="CCCCCC"/>
              <w:left w:sz="2" w:val="none" w:color="FFFFFF"/>
              <w:bottom w:sz="4" w:val="single" w:color="CCCCCC"/>
              <w:right w:sz="2" w:val="none" w:color="FFFFFF"/>
            </w:tcBorders>
          </w:tcPr>
          <w:p>
            <w:pPr>
              <w:spacing w:before="40" w:after="40"/>
            </w:pPr>
            <w:r>
              <w:rPr>
                <w:sz w:val="17"/>
              </w:rPr>
              <w:t>27.31 [24.64, 30.49]</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0.8976</w:t>
            </w:r>
          </w:p>
        </w:tc>
        <w:tc>
          <w:tcPr>
            <w:tcW w:type="dxa" w:w="1680"/>
            <w:tcBorders>
              <w:top w:sz="4" w:val="single" w:color="CCCCCC"/>
              <w:left w:sz="2" w:val="none" w:color="FFFFFF"/>
              <w:bottom w:sz="4" w:val="single" w:color="CCCCCC"/>
              <w:right w:sz="2" w:val="none" w:color="FFFFFF"/>
            </w:tcBorders>
          </w:tcPr>
          <w:p>
            <w:pPr>
              <w:spacing w:before="40" w:after="40"/>
            </w:pPr>
            <w:r>
              <w:rPr>
                <w:sz w:val="17"/>
              </w:rPr>
              <w:t>12.0%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Sliding Window (B3)</w:t>
            </w:r>
          </w:p>
        </w:tc>
        <w:tc>
          <w:tcPr>
            <w:tcW w:type="dxa" w:w="1680"/>
            <w:tcBorders>
              <w:top w:sz="4" w:val="single" w:color="CCCCCC"/>
              <w:left w:sz="2" w:val="none" w:color="FFFFFF"/>
              <w:bottom w:sz="4" w:val="single" w:color="CCCCCC"/>
              <w:right w:sz="2" w:val="none" w:color="FFFFFF"/>
            </w:tcBorders>
          </w:tcPr>
          <w:p>
            <w:pPr>
              <w:spacing w:before="40" w:after="40"/>
            </w:pPr>
            <w:r>
              <w:rPr>
                <w:sz w:val="17"/>
              </w:rPr>
              <w:t>37.27 [34.71, 39.28]</w:t>
            </w:r>
          </w:p>
        </w:tc>
        <w:tc>
          <w:tcPr>
            <w:tcW w:type="dxa" w:w="1680"/>
            <w:tcBorders>
              <w:top w:sz="4" w:val="single" w:color="CCCCCC"/>
              <w:left w:sz="2" w:val="none" w:color="FFFFFF"/>
              <w:bottom w:sz="4" w:val="single" w:color="CCCCCC"/>
              <w:right w:sz="2" w:val="none" w:color="FFFFFF"/>
            </w:tcBorders>
          </w:tcPr>
          <w:p>
            <w:pPr>
              <w:spacing w:before="40" w:after="40"/>
            </w:pPr>
            <w:r>
              <w:rPr>
                <w:sz w:val="17"/>
              </w:rPr>
              <w:t>27.49 [25.06, 30.07]</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0.8998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10.2%</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Fixed Exploration (B4)</w:t>
            </w:r>
          </w:p>
        </w:tc>
        <w:tc>
          <w:tcPr>
            <w:tcW w:type="dxa" w:w="1680"/>
            <w:tcBorders>
              <w:top w:sz="4" w:val="single" w:color="CCCCCC"/>
              <w:left w:sz="2" w:val="none" w:color="FFFFFF"/>
              <w:bottom w:sz="4" w:val="single" w:color="CCCCCC"/>
              <w:right w:sz="2" w:val="none" w:color="FFFFFF"/>
            </w:tcBorders>
          </w:tcPr>
          <w:p>
            <w:pPr>
              <w:spacing w:before="40" w:after="40"/>
            </w:pPr>
            <w:r>
              <w:rPr>
                <w:sz w:val="17"/>
              </w:rPr>
              <w:t>32.35 [29.25, 35.59]</w:t>
            </w:r>
          </w:p>
        </w:tc>
        <w:tc>
          <w:tcPr>
            <w:tcW w:type="dxa" w:w="1680"/>
            <w:tcBorders>
              <w:top w:sz="4" w:val="single" w:color="CCCCCC"/>
              <w:left w:sz="2" w:val="none" w:color="FFFFFF"/>
              <w:bottom w:sz="4" w:val="single" w:color="CCCCCC"/>
              <w:right w:sz="2" w:val="none" w:color="FFFFFF"/>
            </w:tcBorders>
          </w:tcPr>
          <w:p>
            <w:pPr>
              <w:spacing w:before="40" w:after="40"/>
            </w:pPr>
            <w:r>
              <w:rPr>
                <w:sz w:val="17"/>
              </w:rPr>
              <w:t>25.24 [23.22, 27.26]</w:t>
            </w:r>
          </w:p>
        </w:tc>
        <w:tc>
          <w:tcPr>
            <w:tcW w:type="dxa" w:w="1680"/>
            <w:tcBorders>
              <w:top w:sz="4" w:val="single" w:color="CCCCCC"/>
              <w:left w:sz="2" w:val="none" w:color="FFFFFF"/>
              <w:bottom w:sz="4" w:val="single" w:color="CCCCCC"/>
              <w:right w:sz="2" w:val="none" w:color="FFFFFF"/>
            </w:tcBorders>
          </w:tcPr>
          <w:p>
            <w:pPr>
              <w:spacing w:before="40" w:after="40"/>
            </w:pPr>
            <w:r>
              <w:rPr>
                <w:sz w:val="17"/>
              </w:rPr>
              <w:t>0.7052</w:t>
            </w:r>
          </w:p>
        </w:tc>
        <w:tc>
          <w:tcPr>
            <w:tcW w:type="dxa" w:w="1680"/>
            <w:tcBorders>
              <w:top w:sz="4" w:val="single" w:color="CCCCCC"/>
              <w:left w:sz="2" w:val="none" w:color="FFFFFF"/>
              <w:bottom w:sz="4" w:val="single" w:color="CCCCCC"/>
              <w:right w:sz="2" w:val="none" w:color="FFFFFF"/>
            </w:tcBorders>
          </w:tcPr>
          <w:p>
            <w:pPr>
              <w:spacing w:before="40" w:after="40"/>
            </w:pPr>
            <w:r>
              <w:rPr>
                <w:sz w:val="17"/>
              </w:rPr>
              <w:t>90.4%</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FedQual-CPX (B8)</w:t>
            </w:r>
          </w:p>
        </w:tc>
        <w:tc>
          <w:tcPr>
            <w:tcW w:type="dxa" w:w="1680"/>
            <w:tcBorders>
              <w:top w:sz="4" w:val="single" w:color="CCCCCC"/>
              <w:left w:sz="2" w:val="none" w:color="FFFFFF"/>
              <w:bottom w:sz="4" w:val="single" w:color="CCCCCC"/>
              <w:right w:sz="2" w:val="none" w:color="FFFFFF"/>
            </w:tcBorders>
          </w:tcPr>
          <w:p>
            <w:pPr>
              <w:spacing w:before="40" w:after="40"/>
            </w:pPr>
            <w:r>
              <w:rPr>
                <w:sz w:val="17"/>
              </w:rPr>
              <w:t>33.24 [31.66, 34.88]</w:t>
            </w:r>
          </w:p>
        </w:tc>
        <w:tc>
          <w:tcPr>
            <w:tcW w:type="dxa" w:w="1680"/>
            <w:tcBorders>
              <w:top w:sz="4" w:val="single" w:color="CCCCCC"/>
              <w:left w:sz="2" w:val="none" w:color="FFFFFF"/>
              <w:bottom w:sz="4" w:val="single" w:color="CCCCCC"/>
              <w:right w:sz="2" w:val="none" w:color="FFFFFF"/>
            </w:tcBorders>
          </w:tcPr>
          <w:p>
            <w:pPr>
              <w:spacing w:before="40" w:after="40"/>
            </w:pPr>
            <w:r>
              <w:rPr>
                <w:sz w:val="17"/>
              </w:rPr>
              <w:t>25.64 [23.98, 27.11]</w:t>
            </w:r>
          </w:p>
        </w:tc>
        <w:tc>
          <w:tcPr>
            <w:tcW w:type="dxa" w:w="1680"/>
            <w:tcBorders>
              <w:top w:sz="4" w:val="single" w:color="CCCCCC"/>
              <w:left w:sz="2" w:val="none" w:color="FFFFFF"/>
              <w:bottom w:sz="4" w:val="single" w:color="CCCCCC"/>
              <w:right w:sz="2" w:val="none" w:color="FFFFFF"/>
            </w:tcBorders>
          </w:tcPr>
          <w:p>
            <w:pPr>
              <w:spacing w:before="40" w:after="40"/>
            </w:pPr>
            <w:r>
              <w:rPr>
                <w:sz w:val="17"/>
              </w:rPr>
              <w:t>0.4846</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Feature Shift</w:t>
            </w:r>
          </w:p>
        </w:tc>
        <w:tc>
          <w:tcPr>
            <w:tcW w:type="dxa" w:w="1680"/>
            <w:tcBorders>
              <w:top w:sz="4" w:val="single" w:color="CCCCCC"/>
              <w:left w:sz="2" w:val="none" w:color="FFFFFF"/>
              <w:bottom w:sz="4" w:val="single" w:color="CCCCCC"/>
              <w:right w:sz="2" w:val="none" w:color="FFFFFF"/>
            </w:tcBorders>
          </w:tcPr>
          <w:p>
            <w:pPr>
              <w:spacing w:before="40" w:after="40"/>
            </w:pPr>
            <w:r>
              <w:rPr>
                <w:sz w:val="17"/>
              </w:rPr>
              <w:t>Random / FedAvg (B0)</w:t>
            </w:r>
          </w:p>
        </w:tc>
        <w:tc>
          <w:tcPr>
            <w:tcW w:type="dxa" w:w="1680"/>
            <w:tcBorders>
              <w:top w:sz="4" w:val="single" w:color="CCCCCC"/>
              <w:left w:sz="2" w:val="none" w:color="FFFFFF"/>
              <w:bottom w:sz="4" w:val="single" w:color="CCCCCC"/>
              <w:right w:sz="2" w:val="none" w:color="FFFFFF"/>
            </w:tcBorders>
          </w:tcPr>
          <w:p>
            <w:pPr>
              <w:spacing w:before="40" w:after="40"/>
            </w:pPr>
            <w:r>
              <w:rPr>
                <w:sz w:val="17"/>
              </w:rPr>
              <w:t>36.74 [32.96, 39.43]</w:t>
            </w:r>
          </w:p>
        </w:tc>
        <w:tc>
          <w:tcPr>
            <w:tcW w:type="dxa" w:w="1680"/>
            <w:tcBorders>
              <w:top w:sz="4" w:val="single" w:color="CCCCCC"/>
              <w:left w:sz="2" w:val="none" w:color="FFFFFF"/>
              <w:bottom w:sz="4" w:val="single" w:color="CCCCCC"/>
              <w:right w:sz="2" w:val="none" w:color="FFFFFF"/>
            </w:tcBorders>
          </w:tcPr>
          <w:p>
            <w:pPr>
              <w:spacing w:before="40" w:after="40"/>
            </w:pPr>
            <w:r>
              <w:rPr>
                <w:sz w:val="17"/>
              </w:rPr>
              <w:t>26.94 [25.21, 29.18]</w:t>
            </w:r>
          </w:p>
        </w:tc>
        <w:tc>
          <w:tcPr>
            <w:tcW w:type="dxa" w:w="1680"/>
            <w:tcBorders>
              <w:top w:sz="4" w:val="single" w:color="CCCCCC"/>
              <w:left w:sz="2" w:val="none" w:color="FFFFFF"/>
              <w:bottom w:sz="4" w:val="single" w:color="CCCCCC"/>
              <w:right w:sz="2" w:val="none" w:color="FFFFFF"/>
            </w:tcBorders>
          </w:tcPr>
          <w:p>
            <w:pPr>
              <w:spacing w:before="40" w:after="40"/>
            </w:pPr>
            <w:r>
              <w:rPr>
                <w:sz w:val="17"/>
              </w:rPr>
              <w:t>0.1708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(tau=50)</w:t>
            </w:r>
          </w:p>
        </w:tc>
        <w:tc>
          <w:tcPr>
            <w:tcW w:type="dxa" w:w="1680"/>
            <w:tcBorders>
              <w:top w:sz="4" w:val="single" w:color="CCCCCC"/>
              <w:left w:sz="2" w:val="none" w:color="FFFFFF"/>
              <w:bottom w:sz="4" w:val="single" w:color="CCCCCC"/>
              <w:right w:sz="2" w:val="none" w:color="FFFFFF"/>
            </w:tcBorders>
          </w:tcPr>
          <w:p>
            <w:pPr>
              <w:spacing w:before="40" w:after="40"/>
            </w:pPr>
            <w:r>
              <w:rPr>
                <w:sz w:val="17"/>
              </w:rPr>
              <w:t>Utility Greedy (B2)</w:t>
            </w:r>
          </w:p>
        </w:tc>
        <w:tc>
          <w:tcPr>
            <w:tcW w:type="dxa" w:w="1680"/>
            <w:tcBorders>
              <w:top w:sz="4" w:val="single" w:color="CCCCCC"/>
              <w:left w:sz="2" w:val="none" w:color="FFFFFF"/>
              <w:bottom w:sz="4" w:val="single" w:color="CCCCCC"/>
              <w:right w:sz="2" w:val="none" w:color="FFFFFF"/>
            </w:tcBorders>
          </w:tcPr>
          <w:p>
            <w:pPr>
              <w:spacing w:before="40" w:after="40"/>
            </w:pPr>
            <w:r>
              <w:rPr>
                <w:sz w:val="17"/>
              </w:rPr>
              <w:t>37.25 [34.88, 39.90]</w:t>
            </w:r>
          </w:p>
        </w:tc>
        <w:tc>
          <w:tcPr>
            <w:tcW w:type="dxa" w:w="1680"/>
            <w:tcBorders>
              <w:top w:sz="4" w:val="single" w:color="CCCCCC"/>
              <w:left w:sz="2" w:val="none" w:color="FFFFFF"/>
              <w:bottom w:sz="4" w:val="single" w:color="CCCCCC"/>
              <w:right w:sz="2" w:val="none" w:color="FFFFFF"/>
            </w:tcBorders>
          </w:tcPr>
          <w:p>
            <w:pPr>
              <w:spacing w:before="40" w:after="40"/>
            </w:pPr>
            <w:r>
              <w:rPr>
                <w:sz w:val="17"/>
              </w:rPr>
              <w:t>28.18 [26.02, 31.07]</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0.8983</w:t>
            </w:r>
          </w:p>
        </w:tc>
        <w:tc>
          <w:tcPr>
            <w:tcW w:type="dxa" w:w="1680"/>
            <w:tcBorders>
              <w:top w:sz="4" w:val="single" w:color="CCCCCC"/>
              <w:left w:sz="2" w:val="none" w:color="FFFFFF"/>
              <w:bottom w:sz="4" w:val="single" w:color="CCCCCC"/>
              <w:right w:sz="2" w:val="none" w:color="FFFFFF"/>
            </w:tcBorders>
          </w:tcPr>
          <w:p>
            <w:pPr>
              <w:spacing w:before="40" w:after="40"/>
            </w:pPr>
            <w:r>
              <w:rPr>
                <w:sz w:val="17"/>
              </w:rPr>
              <w:t>12.0%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Sliding Window (B3)</w:t>
            </w:r>
          </w:p>
        </w:tc>
        <w:tc>
          <w:tcPr>
            <w:tcW w:type="dxa" w:w="1680"/>
            <w:tcBorders>
              <w:top w:sz="4" w:val="single" w:color="CCCCCC"/>
              <w:left w:sz="2" w:val="none" w:color="FFFFFF"/>
              <w:bottom w:sz="4" w:val="single" w:color="CCCCCC"/>
              <w:right w:sz="2" w:val="none" w:color="FFFFFF"/>
            </w:tcBorders>
          </w:tcPr>
          <w:p>
            <w:pPr>
              <w:spacing w:before="40" w:after="40"/>
            </w:pPr>
            <w:r>
              <w:rPr>
                <w:sz w:val="17"/>
              </w:rPr>
              <w:t>37.41 [35.19, 39.88]</w:t>
            </w:r>
          </w:p>
        </w:tc>
        <w:tc>
          <w:tcPr>
            <w:tcW w:type="dxa" w:w="1680"/>
            <w:tcBorders>
              <w:top w:sz="4" w:val="single" w:color="CCCCCC"/>
              <w:left w:sz="2" w:val="none" w:color="FFFFFF"/>
              <w:bottom w:sz="4" w:val="single" w:color="CCCCCC"/>
              <w:right w:sz="2" w:val="none" w:color="FFFFFF"/>
            </w:tcBorders>
          </w:tcPr>
          <w:p>
            <w:pPr>
              <w:spacing w:before="40" w:after="40"/>
            </w:pPr>
            <w:r>
              <w:rPr>
                <w:sz w:val="17"/>
              </w:rPr>
              <w:t>27.95 [26.02, 30.55]</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0.8996</w:t>
            </w:r>
          </w:p>
        </w:tc>
        <w:tc>
          <w:tcPr>
            <w:tcW w:type="dxa" w:w="1680"/>
            <w:tcBorders>
              <w:top w:sz="4" w:val="single" w:color="CCCCCC"/>
              <w:left w:sz="2" w:val="none" w:color="FFFFFF"/>
              <w:bottom w:sz="4" w:val="single" w:color="CCCCCC"/>
              <w:right w:sz="2" w:val="none" w:color="FFFFFF"/>
            </w:tcBorders>
          </w:tcPr>
          <w:p>
            <w:pPr>
              <w:spacing w:before="40" w:after="40"/>
            </w:pPr>
            <w:r>
              <w:rPr>
                <w:sz w:val="17"/>
              </w:rPr>
              <w:t>10.4%</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Fixed Exploration (B4)</w:t>
            </w:r>
          </w:p>
        </w:tc>
        <w:tc>
          <w:tcPr>
            <w:tcW w:type="dxa" w:w="1680"/>
            <w:tcBorders>
              <w:top w:sz="4" w:val="single" w:color="CCCCCC"/>
              <w:left w:sz="2" w:val="none" w:color="FFFFFF"/>
              <w:bottom w:sz="4" w:val="single" w:color="CCCCCC"/>
              <w:right w:sz="2" w:val="none" w:color="FFFFFF"/>
            </w:tcBorders>
          </w:tcPr>
          <w:p>
            <w:pPr>
              <w:spacing w:before="40" w:after="40"/>
            </w:pPr>
            <w:r>
              <w:rPr>
                <w:sz w:val="17"/>
              </w:rPr>
              <w:t>32.86 [28.52, 36.40]</w:t>
            </w:r>
          </w:p>
        </w:tc>
        <w:tc>
          <w:tcPr>
            <w:tcW w:type="dxa" w:w="1680"/>
            <w:tcBorders>
              <w:top w:sz="4" w:val="single" w:color="CCCCCC"/>
              <w:left w:sz="2" w:val="none" w:color="FFFFFF"/>
              <w:bottom w:sz="4" w:val="single" w:color="CCCCCC"/>
              <w:right w:sz="2" w:val="none" w:color="FFFFFF"/>
            </w:tcBorders>
          </w:tcPr>
          <w:p>
            <w:pPr>
              <w:spacing w:before="40" w:after="40"/>
            </w:pPr>
            <w:r>
              <w:rPr>
                <w:sz w:val="17"/>
              </w:rPr>
              <w:t>25.21 [22.33, 28.15]</w:t>
            </w:r>
          </w:p>
        </w:tc>
        <w:tc>
          <w:tcPr>
            <w:tcW w:type="dxa" w:w="1680"/>
            <w:tcBorders>
              <w:top w:sz="4" w:val="single" w:color="CCCCCC"/>
              <w:left w:sz="2" w:val="none" w:color="FFFFFF"/>
              <w:bottom w:sz="4" w:val="single" w:color="CCCCCC"/>
              <w:right w:sz="2" w:val="none" w:color="FFFFFF"/>
            </w:tcBorders>
          </w:tcPr>
          <w:p>
            <w:pPr>
              <w:spacing w:before="40" w:after="40"/>
            </w:pPr>
            <w:r>
              <w:rPr>
                <w:sz w:val="17"/>
              </w:rPr>
              <w:t>0.7075</w:t>
            </w:r>
          </w:p>
        </w:tc>
        <w:tc>
          <w:tcPr>
            <w:tcW w:type="dxa" w:w="1680"/>
            <w:tcBorders>
              <w:top w:sz="4" w:val="single" w:color="CCCCCC"/>
              <w:left w:sz="2" w:val="none" w:color="FFFFFF"/>
              <w:bottom w:sz="4" w:val="single" w:color="CCCCCC"/>
              <w:right w:sz="2" w:val="none" w:color="FFFFFF"/>
            </w:tcBorders>
          </w:tcPr>
          <w:p>
            <w:pPr>
              <w:spacing w:before="40" w:after="40"/>
            </w:pPr>
            <w:r>
              <w:rPr>
                <w:sz w:val="17"/>
              </w:rPr>
              <w:t>90.2%</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FedQual-CPX (B8)</w:t>
            </w:r>
          </w:p>
        </w:tc>
        <w:tc>
          <w:tcPr>
            <w:tcW w:type="dxa" w:w="1680"/>
            <w:tcBorders>
              <w:top w:sz="4" w:val="single" w:color="CCCCCC"/>
              <w:left w:sz="2" w:val="none" w:color="FFFFFF"/>
              <w:bottom w:sz="4" w:val="single" w:color="CCCCCC"/>
              <w:right w:sz="2" w:val="none" w:color="FFFFFF"/>
            </w:tcBorders>
          </w:tcPr>
          <w:p>
            <w:pPr>
              <w:spacing w:before="40" w:after="40"/>
            </w:pPr>
            <w:r>
              <w:rPr>
                <w:sz w:val="17"/>
              </w:rPr>
              <w:t>35.44 [33.87, 37.00]</w:t>
            </w:r>
          </w:p>
        </w:tc>
        <w:tc>
          <w:tcPr>
            <w:tcW w:type="dxa" w:w="1680"/>
            <w:tcBorders>
              <w:top w:sz="4" w:val="single" w:color="CCCCCC"/>
              <w:left w:sz="2" w:val="none" w:color="FFFFFF"/>
              <w:bottom w:sz="4" w:val="single" w:color="CCCCCC"/>
              <w:right w:sz="2" w:val="none" w:color="FFFFFF"/>
            </w:tcBorders>
          </w:tcPr>
          <w:p>
            <w:pPr>
              <w:spacing w:before="40" w:after="40"/>
            </w:pPr>
            <w:r>
              <w:rPr>
                <w:sz w:val="17"/>
              </w:rPr>
              <w:t>25.65 [22.98, 27.86]</w:t>
            </w:r>
          </w:p>
        </w:tc>
        <w:tc>
          <w:tcPr>
            <w:tcW w:type="dxa" w:w="1680"/>
            <w:tcBorders>
              <w:top w:sz="4" w:val="single" w:color="CCCCCC"/>
              <w:left w:sz="2" w:val="none" w:color="FFFFFF"/>
              <w:bottom w:sz="4" w:val="single" w:color="CCCCCC"/>
              <w:right w:sz="2" w:val="none" w:color="FFFFFF"/>
            </w:tcBorders>
          </w:tcPr>
          <w:p>
            <w:pPr>
              <w:spacing w:before="40" w:after="40"/>
            </w:pPr>
            <w:r>
              <w:rPr>
                <w:sz w:val="17"/>
              </w:rPr>
              <w:t>0.5005</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Gradual Drift</w:t>
            </w:r>
          </w:p>
        </w:tc>
        <w:tc>
          <w:tcPr>
            <w:tcW w:type="dxa" w:w="1680"/>
            <w:tcBorders>
              <w:top w:sz="4" w:val="single" w:color="CCCCCC"/>
              <w:left w:sz="2" w:val="none" w:color="FFFFFF"/>
              <w:bottom w:sz="4" w:val="single" w:color="CCCCCC"/>
              <w:right w:sz="2" w:val="none" w:color="FFFFFF"/>
            </w:tcBorders>
          </w:tcPr>
          <w:p>
            <w:pPr>
              <w:spacing w:before="40" w:after="40"/>
            </w:pPr>
            <w:r>
              <w:rPr>
                <w:sz w:val="17"/>
              </w:rPr>
              <w:t>Random / FedAvg (B0)</w:t>
            </w:r>
          </w:p>
        </w:tc>
        <w:tc>
          <w:tcPr>
            <w:tcW w:type="dxa" w:w="1680"/>
            <w:tcBorders>
              <w:top w:sz="4" w:val="single" w:color="CCCCCC"/>
              <w:left w:sz="2" w:val="none" w:color="FFFFFF"/>
              <w:bottom w:sz="4" w:val="single" w:color="CCCCCC"/>
              <w:right w:sz="2" w:val="none" w:color="FFFFFF"/>
            </w:tcBorders>
          </w:tcPr>
          <w:p>
            <w:pPr>
              <w:spacing w:before="40" w:after="40"/>
            </w:pPr>
            <w:r>
              <w:rPr>
                <w:sz w:val="17"/>
              </w:rPr>
              <w:t>36.79 [33.46, 39.45]</w:t>
            </w:r>
          </w:p>
        </w:tc>
        <w:tc>
          <w:tcPr>
            <w:tcW w:type="dxa" w:w="1680"/>
            <w:tcBorders>
              <w:top w:sz="4" w:val="single" w:color="CCCCCC"/>
              <w:left w:sz="2" w:val="none" w:color="FFFFFF"/>
              <w:bottom w:sz="4" w:val="single" w:color="CCCCCC"/>
              <w:right w:sz="2" w:val="none" w:color="FFFFFF"/>
            </w:tcBorders>
          </w:tcPr>
          <w:p>
            <w:pPr>
              <w:spacing w:before="40" w:after="40"/>
            </w:pPr>
            <w:r>
              <w:rPr>
                <w:sz w:val="17"/>
              </w:rPr>
              <w:t>31.53 [29.62, 32.87]</w:t>
            </w:r>
          </w:p>
        </w:tc>
        <w:tc>
          <w:tcPr>
            <w:tcW w:type="dxa" w:w="1680"/>
            <w:tcBorders>
              <w:top w:sz="4" w:val="single" w:color="CCCCCC"/>
              <w:left w:sz="2" w:val="none" w:color="FFFFFF"/>
              <w:bottom w:sz="4" w:val="single" w:color="CCCCCC"/>
              <w:right w:sz="2" w:val="none" w:color="FFFFFF"/>
            </w:tcBorders>
          </w:tcPr>
          <w:p>
            <w:pPr>
              <w:spacing w:before="40" w:after="40"/>
            </w:pPr>
            <w:r>
              <w:rPr>
                <w:sz w:val="17"/>
              </w:rPr>
              <w:t>0.1708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(tau in [30, 70])</w:t>
            </w:r>
          </w:p>
        </w:tc>
        <w:tc>
          <w:tcPr>
            <w:tcW w:type="dxa" w:w="1680"/>
            <w:tcBorders>
              <w:top w:sz="4" w:val="single" w:color="CCCCCC"/>
              <w:left w:sz="2" w:val="none" w:color="FFFFFF"/>
              <w:bottom w:sz="4" w:val="single" w:color="CCCCCC"/>
              <w:right w:sz="2" w:val="none" w:color="FFFFFF"/>
            </w:tcBorders>
          </w:tcPr>
          <w:p>
            <w:pPr>
              <w:spacing w:before="40" w:after="40"/>
            </w:pPr>
            <w:r>
              <w:rPr>
                <w:sz w:val="17"/>
              </w:rPr>
              <w:t>Utility Greedy (B2)</w:t>
            </w:r>
          </w:p>
        </w:tc>
        <w:tc>
          <w:tcPr>
            <w:tcW w:type="dxa" w:w="1680"/>
            <w:tcBorders>
              <w:top w:sz="4" w:val="single" w:color="CCCCCC"/>
              <w:left w:sz="2" w:val="none" w:color="FFFFFF"/>
              <w:bottom w:sz="4" w:val="single" w:color="CCCCCC"/>
              <w:right w:sz="2" w:val="none" w:color="FFFFFF"/>
            </w:tcBorders>
          </w:tcPr>
          <w:p>
            <w:pPr>
              <w:spacing w:before="40" w:after="40"/>
            </w:pPr>
            <w:r>
              <w:rPr>
                <w:sz w:val="17"/>
              </w:rPr>
              <w:t>37.23 [33.76, 39.87]</w:t>
            </w:r>
          </w:p>
        </w:tc>
        <w:tc>
          <w:tcPr>
            <w:tcW w:type="dxa" w:w="1680"/>
            <w:tcBorders>
              <w:top w:sz="4" w:val="single" w:color="CCCCCC"/>
              <w:left w:sz="2" w:val="none" w:color="FFFFFF"/>
              <w:bottom w:sz="4" w:val="single" w:color="CCCCCC"/>
              <w:right w:sz="2" w:val="none" w:color="FFFFFF"/>
            </w:tcBorders>
          </w:tcPr>
          <w:p>
            <w:pPr>
              <w:spacing w:before="40" w:after="40"/>
            </w:pPr>
            <w:r>
              <w:rPr>
                <w:sz w:val="17"/>
              </w:rPr>
              <w:t>31.54 [28.85, 34.80]</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0.8977</w:t>
            </w:r>
          </w:p>
        </w:tc>
        <w:tc>
          <w:tcPr>
            <w:tcW w:type="dxa" w:w="1680"/>
            <w:tcBorders>
              <w:top w:sz="4" w:val="single" w:color="CCCCCC"/>
              <w:left w:sz="2" w:val="none" w:color="FFFFFF"/>
              <w:bottom w:sz="4" w:val="single" w:color="CCCCCC"/>
              <w:right w:sz="2" w:val="none" w:color="FFFFFF"/>
            </w:tcBorders>
          </w:tcPr>
          <w:p>
            <w:pPr>
              <w:spacing w:before="40" w:after="40"/>
            </w:pPr>
            <w:r>
              <w:rPr>
                <w:sz w:val="17"/>
              </w:rPr>
              <w:t>11.6%</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Sliding Window (B3)</w:t>
            </w:r>
          </w:p>
        </w:tc>
        <w:tc>
          <w:tcPr>
            <w:tcW w:type="dxa" w:w="1680"/>
            <w:tcBorders>
              <w:top w:sz="4" w:val="single" w:color="CCCCCC"/>
              <w:left w:sz="2" w:val="none" w:color="FFFFFF"/>
              <w:bottom w:sz="4" w:val="single" w:color="CCCCCC"/>
              <w:right w:sz="2" w:val="none" w:color="FFFFFF"/>
            </w:tcBorders>
          </w:tcPr>
          <w:p>
            <w:pPr>
              <w:spacing w:before="40" w:after="40"/>
            </w:pPr>
            <w:r>
              <w:rPr>
                <w:sz w:val="17"/>
              </w:rPr>
              <w:t>37.58 [35.33, 39.43]</w:t>
            </w:r>
          </w:p>
        </w:tc>
        <w:tc>
          <w:tcPr>
            <w:tcW w:type="dxa" w:w="1680"/>
            <w:tcBorders>
              <w:top w:sz="4" w:val="single" w:color="CCCCCC"/>
              <w:left w:sz="2" w:val="none" w:color="FFFFFF"/>
              <w:bottom w:sz="4" w:val="single" w:color="CCCCCC"/>
              <w:right w:sz="2" w:val="none" w:color="FFFFFF"/>
            </w:tcBorders>
          </w:tcPr>
          <w:p>
            <w:pPr>
              <w:spacing w:before="40" w:after="40"/>
            </w:pPr>
            <w:r>
              <w:rPr>
                <w:sz w:val="17"/>
              </w:rPr>
              <w:t>32.67 [30.68, 35.28]</w:t>
            </w:r>
          </w:p>
        </w:tc>
        <w:tc>
          <w:tcPr>
            <w:tcW w:type="dxa" w:w="1680"/>
            <w:tcBorders>
              <w:top w:sz="4" w:val="single" w:color="CCCCCC"/>
              <w:left w:sz="2" w:val="none" w:color="FFFFFF"/>
              <w:bottom w:sz="4" w:val="single" w:color="CCCCCC"/>
              <w:right w:sz="2" w:val="none" w:color="FFFFFF"/>
            </w:tcBorders>
          </w:tcPr>
          <w:p>
            <w:pPr>
              <w:spacing w:before="40" w:after="40"/>
            </w:pPr>
            <w:r>
              <w:rPr>
                <w:sz w:val="17"/>
              </w:rPr>
              <w:t>0.8998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10.2%</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Fixed Exploration (B4)</w:t>
            </w:r>
          </w:p>
        </w:tc>
        <w:tc>
          <w:tcPr>
            <w:tcW w:type="dxa" w:w="1680"/>
            <w:tcBorders>
              <w:top w:sz="4" w:val="single" w:color="CCCCCC"/>
              <w:left w:sz="2" w:val="none" w:color="FFFFFF"/>
              <w:bottom w:sz="4" w:val="single" w:color="CCCCCC"/>
              <w:right w:sz="2" w:val="none" w:color="FFFFFF"/>
            </w:tcBorders>
          </w:tcPr>
          <w:p>
            <w:pPr>
              <w:spacing w:before="40" w:after="40"/>
            </w:pPr>
            <w:r>
              <w:rPr>
                <w:sz w:val="17"/>
              </w:rPr>
              <w:t>35.16 [32.14, 37.65]</w:t>
            </w:r>
          </w:p>
        </w:tc>
        <w:tc>
          <w:tcPr>
            <w:tcW w:type="dxa" w:w="1680"/>
            <w:tcBorders>
              <w:top w:sz="4" w:val="single" w:color="CCCCCC"/>
              <w:left w:sz="2" w:val="none" w:color="FFFFFF"/>
              <w:bottom w:sz="4" w:val="single" w:color="CCCCCC"/>
              <w:right w:sz="2" w:val="none" w:color="FFFFFF"/>
            </w:tcBorders>
          </w:tcPr>
          <w:p>
            <w:pPr>
              <w:spacing w:before="40" w:after="40"/>
            </w:pPr>
            <w:r>
              <w:rPr>
                <w:sz w:val="17"/>
              </w:rPr>
              <w:t>31.41 [29.68, 33.61]</w:t>
            </w:r>
          </w:p>
        </w:tc>
        <w:tc>
          <w:tcPr>
            <w:tcW w:type="dxa" w:w="1680"/>
            <w:tcBorders>
              <w:top w:sz="4" w:val="single" w:color="CCCCCC"/>
              <w:left w:sz="2" w:val="none" w:color="FFFFFF"/>
              <w:bottom w:sz="4" w:val="single" w:color="CCCCCC"/>
              <w:right w:sz="2" w:val="none" w:color="FFFFFF"/>
            </w:tcBorders>
          </w:tcPr>
          <w:p>
            <w:pPr>
              <w:spacing w:before="40" w:after="40"/>
            </w:pPr>
            <w:r>
              <w:rPr>
                <w:sz w:val="17"/>
              </w:rPr>
              <w:t>0.7013</w:t>
            </w:r>
          </w:p>
        </w:tc>
        <w:tc>
          <w:tcPr>
            <w:tcW w:type="dxa" w:w="1680"/>
            <w:tcBorders>
              <w:top w:sz="4" w:val="single" w:color="CCCCCC"/>
              <w:left w:sz="2" w:val="none" w:color="FFFFFF"/>
              <w:bottom w:sz="4" w:val="single" w:color="CCCCCC"/>
              <w:right w:sz="2" w:val="none" w:color="FFFFFF"/>
            </w:tcBorders>
          </w:tcPr>
          <w:p>
            <w:pPr>
              <w:spacing w:before="40" w:after="40"/>
            </w:pPr>
            <w:r>
              <w:rPr>
                <w:sz w:val="17"/>
              </w:rPr>
              <w:t>90.6%</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FedQual-CPX (B8)</w:t>
            </w:r>
          </w:p>
        </w:tc>
        <w:tc>
          <w:tcPr>
            <w:tcW w:type="dxa" w:w="1680"/>
            <w:tcBorders>
              <w:top w:sz="4" w:val="single" w:color="CCCCCC"/>
              <w:left w:sz="2" w:val="none" w:color="FFFFFF"/>
              <w:bottom w:sz="4" w:val="single" w:color="CCCCCC"/>
              <w:right w:sz="2" w:val="none" w:color="FFFFFF"/>
            </w:tcBorders>
          </w:tcPr>
          <w:p>
            <w:pPr>
              <w:spacing w:before="40" w:after="40"/>
            </w:pPr>
            <w:r>
              <w:rPr>
                <w:sz w:val="17"/>
              </w:rPr>
              <w:t>33.37 [32.22, 34.36]</w:t>
            </w:r>
          </w:p>
        </w:tc>
        <w:tc>
          <w:tcPr>
            <w:tcW w:type="dxa" w:w="1680"/>
            <w:tcBorders>
              <w:top w:sz="4" w:val="single" w:color="CCCCCC"/>
              <w:left w:sz="2" w:val="none" w:color="FFFFFF"/>
              <w:bottom w:sz="4" w:val="single" w:color="CCCCCC"/>
              <w:right w:sz="2" w:val="none" w:color="FFFFFF"/>
            </w:tcBorders>
          </w:tcPr>
          <w:p>
            <w:pPr>
              <w:spacing w:before="40" w:after="40"/>
            </w:pPr>
            <w:r>
              <w:rPr>
                <w:sz w:val="17"/>
              </w:rPr>
              <w:t>30.90 [29.45, 32.03]</w:t>
            </w:r>
          </w:p>
        </w:tc>
        <w:tc>
          <w:tcPr>
            <w:tcW w:type="dxa" w:w="1680"/>
            <w:tcBorders>
              <w:top w:sz="4" w:val="single" w:color="CCCCCC"/>
              <w:left w:sz="2" w:val="none" w:color="FFFFFF"/>
              <w:bottom w:sz="4" w:val="single" w:color="CCCCCC"/>
              <w:right w:sz="2" w:val="none" w:color="FFFFFF"/>
            </w:tcBorders>
          </w:tcPr>
          <w:p>
            <w:pPr>
              <w:spacing w:before="40" w:after="40"/>
            </w:pPr>
            <w:r>
              <w:rPr>
                <w:sz w:val="17"/>
              </w:rPr>
              <w:t>0.4962</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bl>
    <w:p>
      <w:pPr>
        <w:spacing w:before="160" w:after="40"/>
      </w:pPr>
      <w:r>
        <w:rPr>
          <w:b/>
          <w:i/>
          <w:sz w:val="21"/>
        </w:rPr>
        <w:t>5.2 LEAF Benchmark Evaluations</w:t>
      </w:r>
    </w:p>
    <w:p>
      <w:pPr>
        <w:spacing w:after="100" w:line="276" w:lineRule="auto"/>
        <w:jc w:val="both"/>
      </w:pPr>
      <w:r>
        <w:t>Table 2 presents evaluation results on the LEAF benchmark suite. In FEMNIST character recognition, greedy selection completely breaks down. Greedy accuracy drops to 72.08%, which is the lowest among all evaluated methods. It starves over eighty percent of devices because writer styles are diverse. FedQual-CPX achieves 74.79% accuracy, outperforming greedy selection by 2.71% and fixed exploration by 0.91%, while ensuring full client coverage.</w:t>
      </w:r>
    </w:p>
    <w:p>
      <w:pPr>
        <w:spacing w:after="100" w:line="276" w:lineRule="auto"/>
        <w:jc w:val="both"/>
      </w:pPr>
      <w:r>
        <w:t>In Shakespeare character modeling, FedQual-CPX reaches 1.19% top-1 accuracy, which is the highest score across all compared techniques. Greedy selection restricts itself to ten clients with a 0.9000 Gini coefficient. FedQual-CPX keeps Gini inequality at 0.5401 and includes all clients.</w:t>
      </w:r>
    </w:p>
    <w:p>
      <w:pPr>
        <w:spacing w:before="160" w:after="60"/>
      </w:pPr>
      <w:r>
        <w:rPr>
          <w:b/>
          <w:sz w:val="19"/>
        </w:rPr>
        <w:t>Table 2. Cross-dataset performance on LEAF benchmark suite across five random seeds.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Benchmark Dataset</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Selection Method</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Final Accuracy (%)</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Recovery Accuracy (%)</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Gini Index</w:t>
            </w:r>
          </w:p>
        </w:tc>
        <w:tc>
          <w:tcPr>
            <w:tcW w:type="dxa" w:w="1680"/>
            <w:shd w:fill="EBF1F5"/>
            <w:tcBorders>
              <w:top w:sz="4" w:val="single" w:color="CCCCCC"/>
              <w:left w:sz="2" w:val="none" w:color="FFFFFF"/>
              <w:bottom w:sz="4" w:val="single" w:color="CCCCCC"/>
              <w:right w:sz="2" w:val="none" w:color="FFFFFF"/>
            </w:tcBorders>
          </w:tcPr>
          <w:p>
            <w:pPr>
              <w:spacing w:before="40" w:after="40"/>
            </w:pPr>
            <w:r>
              <w:rPr>
                <w:b/>
                <w:sz w:val="17"/>
              </w:rPr>
              <w:t>Coverage (%)</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LEAF FEMNIST</w:t>
            </w:r>
          </w:p>
        </w:tc>
        <w:tc>
          <w:tcPr>
            <w:tcW w:type="dxa" w:w="1680"/>
            <w:tcBorders>
              <w:top w:sz="4" w:val="single" w:color="CCCCCC"/>
              <w:left w:sz="2" w:val="none" w:color="FFFFFF"/>
              <w:bottom w:sz="4" w:val="single" w:color="CCCCCC"/>
              <w:right w:sz="2" w:val="none" w:color="FFFFFF"/>
            </w:tcBorders>
          </w:tcPr>
          <w:p>
            <w:pPr>
              <w:spacing w:before="40" w:after="40"/>
            </w:pPr>
            <w:r>
              <w:rPr>
                <w:sz w:val="17"/>
              </w:rPr>
              <w:t>Random / FedAvg (B0)</w:t>
            </w:r>
          </w:p>
        </w:tc>
        <w:tc>
          <w:tcPr>
            <w:tcW w:type="dxa" w:w="1680"/>
            <w:tcBorders>
              <w:top w:sz="4" w:val="single" w:color="CCCCCC"/>
              <w:left w:sz="2" w:val="none" w:color="FFFFFF"/>
              <w:bottom w:sz="4" w:val="single" w:color="CCCCCC"/>
              <w:right w:sz="2" w:val="none" w:color="FFFFFF"/>
            </w:tcBorders>
          </w:tcPr>
          <w:p>
            <w:pPr>
              <w:spacing w:before="40" w:after="40"/>
            </w:pPr>
            <w:r>
              <w:rPr>
                <w:sz w:val="17"/>
              </w:rPr>
              <w:t>76.13 [75.10, 76.88]</w:t>
            </w:r>
          </w:p>
        </w:tc>
        <w:tc>
          <w:tcPr>
            <w:tcW w:type="dxa" w:w="1680"/>
            <w:tcBorders>
              <w:top w:sz="4" w:val="single" w:color="CCCCCC"/>
              <w:left w:sz="2" w:val="none" w:color="FFFFFF"/>
              <w:bottom w:sz="4" w:val="single" w:color="CCCCCC"/>
              <w:right w:sz="2" w:val="none" w:color="FFFFFF"/>
            </w:tcBorders>
          </w:tcPr>
          <w:p>
            <w:pPr>
              <w:spacing w:before="40" w:after="40"/>
            </w:pPr>
            <w:r>
              <w:rPr>
                <w:sz w:val="17"/>
              </w:rPr>
              <w:t>69.97 [69.61, 70.32]</w:t>
            </w:r>
          </w:p>
        </w:tc>
        <w:tc>
          <w:tcPr>
            <w:tcW w:type="dxa" w:w="1680"/>
            <w:tcBorders>
              <w:top w:sz="4" w:val="single" w:color="CCCCCC"/>
              <w:left w:sz="2" w:val="none" w:color="FFFFFF"/>
              <w:bottom w:sz="4" w:val="single" w:color="CCCCCC"/>
              <w:right w:sz="2" w:val="none" w:color="FFFFFF"/>
            </w:tcBorders>
          </w:tcPr>
          <w:p>
            <w:pPr>
              <w:spacing w:before="40" w:after="40"/>
            </w:pPr>
            <w:r>
              <w:rPr>
                <w:sz w:val="17"/>
              </w:rPr>
              <w:t>0.1708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(62-Class CNN)</w:t>
            </w:r>
          </w:p>
        </w:tc>
        <w:tc>
          <w:tcPr>
            <w:tcW w:type="dxa" w:w="1680"/>
            <w:tcBorders>
              <w:top w:sz="4" w:val="single" w:color="CCCCCC"/>
              <w:left w:sz="2" w:val="none" w:color="FFFFFF"/>
              <w:bottom w:sz="4" w:val="single" w:color="CCCCCC"/>
              <w:right w:sz="2" w:val="none" w:color="FFFFFF"/>
            </w:tcBorders>
          </w:tcPr>
          <w:p>
            <w:pPr>
              <w:spacing w:before="40" w:after="40"/>
            </w:pPr>
            <w:r>
              <w:rPr>
                <w:sz w:val="17"/>
              </w:rPr>
              <w:t>Utility Greedy (B2)</w:t>
            </w:r>
          </w:p>
        </w:tc>
        <w:tc>
          <w:tcPr>
            <w:tcW w:type="dxa" w:w="1680"/>
            <w:tcBorders>
              <w:top w:sz="4" w:val="single" w:color="CCCCCC"/>
              <w:left w:sz="2" w:val="none" w:color="FFFFFF"/>
              <w:bottom w:sz="4" w:val="single" w:color="CCCCCC"/>
              <w:right w:sz="2" w:val="none" w:color="FFFFFF"/>
            </w:tcBorders>
          </w:tcPr>
          <w:p>
            <w:pPr>
              <w:spacing w:before="40" w:after="40"/>
            </w:pPr>
            <w:r>
              <w:rPr>
                <w:sz w:val="17"/>
              </w:rPr>
              <w:t>72.08 [71.01, 73.06]</w:t>
            </w:r>
          </w:p>
        </w:tc>
        <w:tc>
          <w:tcPr>
            <w:tcW w:type="dxa" w:w="1680"/>
            <w:tcBorders>
              <w:top w:sz="4" w:val="single" w:color="CCCCCC"/>
              <w:left w:sz="2" w:val="none" w:color="FFFFFF"/>
              <w:bottom w:sz="4" w:val="single" w:color="CCCCCC"/>
              <w:right w:sz="2" w:val="none" w:color="FFFFFF"/>
            </w:tcBorders>
          </w:tcPr>
          <w:p>
            <w:pPr>
              <w:spacing w:before="40" w:after="40"/>
            </w:pPr>
            <w:r>
              <w:rPr>
                <w:sz w:val="17"/>
              </w:rPr>
              <w:t>67.48 [66.82, 68.29]</w:t>
            </w:r>
          </w:p>
        </w:tc>
        <w:tc>
          <w:tcPr>
            <w:tcW w:type="dxa" w:w="1680"/>
            <w:tcBorders>
              <w:top w:sz="4" w:val="single" w:color="CCCCCC"/>
              <w:left w:sz="2" w:val="none" w:color="FFFFFF"/>
              <w:bottom w:sz="4" w:val="single" w:color="CCCCCC"/>
              <w:right w:sz="2" w:val="none" w:color="FFFFFF"/>
            </w:tcBorders>
          </w:tcPr>
          <w:p>
            <w:pPr>
              <w:spacing w:before="40" w:after="40"/>
            </w:pPr>
            <w:r>
              <w:rPr>
                <w:sz w:val="17"/>
              </w:rPr>
              <w:t>0.8801</w:t>
            </w:r>
          </w:p>
        </w:tc>
        <w:tc>
          <w:tcPr>
            <w:tcW w:type="dxa" w:w="1680"/>
            <w:tcBorders>
              <w:top w:sz="4" w:val="single" w:color="CCCCCC"/>
              <w:left w:sz="2" w:val="none" w:color="FFFFFF"/>
              <w:bottom w:sz="4" w:val="single" w:color="CCCCCC"/>
              <w:right w:sz="2" w:val="none" w:color="FFFFFF"/>
            </w:tcBorders>
          </w:tcPr>
          <w:p>
            <w:pPr>
              <w:spacing w:before="40" w:after="40"/>
            </w:pPr>
            <w:r>
              <w:rPr>
                <w:sz w:val="17"/>
              </w:rPr>
              <w:t>19.4%</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Fixed Exploration (B4)</w:t>
            </w:r>
          </w:p>
        </w:tc>
        <w:tc>
          <w:tcPr>
            <w:tcW w:type="dxa" w:w="1680"/>
            <w:tcBorders>
              <w:top w:sz="4" w:val="single" w:color="CCCCCC"/>
              <w:left w:sz="2" w:val="none" w:color="FFFFFF"/>
              <w:bottom w:sz="4" w:val="single" w:color="CCCCCC"/>
              <w:right w:sz="2" w:val="none" w:color="FFFFFF"/>
            </w:tcBorders>
          </w:tcPr>
          <w:p>
            <w:pPr>
              <w:spacing w:before="40" w:after="40"/>
            </w:pPr>
            <w:r>
              <w:rPr>
                <w:sz w:val="17"/>
              </w:rPr>
              <w:t>73.88 [71.98, 75.03]</w:t>
            </w:r>
          </w:p>
        </w:tc>
        <w:tc>
          <w:tcPr>
            <w:tcW w:type="dxa" w:w="1680"/>
            <w:tcBorders>
              <w:top w:sz="4" w:val="single" w:color="CCCCCC"/>
              <w:left w:sz="2" w:val="none" w:color="FFFFFF"/>
              <w:bottom w:sz="4" w:val="single" w:color="CCCCCC"/>
              <w:right w:sz="2" w:val="none" w:color="FFFFFF"/>
            </w:tcBorders>
          </w:tcPr>
          <w:p>
            <w:pPr>
              <w:spacing w:before="40" w:after="40"/>
            </w:pPr>
            <w:r>
              <w:rPr>
                <w:sz w:val="17"/>
              </w:rPr>
              <w:t>69.80 [69.22, 70.37]</w:t>
            </w:r>
          </w:p>
        </w:tc>
        <w:tc>
          <w:tcPr>
            <w:tcW w:type="dxa" w:w="1680"/>
            <w:tcBorders>
              <w:top w:sz="4" w:val="single" w:color="CCCCCC"/>
              <w:left w:sz="2" w:val="none" w:color="FFFFFF"/>
              <w:bottom w:sz="4" w:val="single" w:color="CCCCCC"/>
              <w:right w:sz="2" w:val="none" w:color="FFFFFF"/>
            </w:tcBorders>
          </w:tcPr>
          <w:p>
            <w:pPr>
              <w:spacing w:before="40" w:after="40"/>
            </w:pPr>
            <w:r>
              <w:rPr>
                <w:sz w:val="17"/>
              </w:rPr>
              <w:t>0.5815</w:t>
            </w:r>
          </w:p>
        </w:tc>
        <w:tc>
          <w:tcPr>
            <w:tcW w:type="dxa" w:w="1680"/>
            <w:tcBorders>
              <w:top w:sz="4" w:val="single" w:color="CCCCCC"/>
              <w:left w:sz="2" w:val="none" w:color="FFFFFF"/>
              <w:bottom w:sz="4" w:val="single" w:color="CCCCCC"/>
              <w:right w:sz="2" w:val="none" w:color="FFFFFF"/>
            </w:tcBorders>
          </w:tcPr>
          <w:p>
            <w:pPr>
              <w:spacing w:before="40" w:after="40"/>
            </w:pPr>
            <w:r>
              <w:rPr>
                <w:sz w:val="17"/>
              </w:rPr>
              <w:t>92.2%</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FedQual-CPX (B8)</w:t>
            </w:r>
          </w:p>
        </w:tc>
        <w:tc>
          <w:tcPr>
            <w:tcW w:type="dxa" w:w="1680"/>
            <w:tcBorders>
              <w:top w:sz="4" w:val="single" w:color="CCCCCC"/>
              <w:left w:sz="2" w:val="none" w:color="FFFFFF"/>
              <w:bottom w:sz="4" w:val="single" w:color="CCCCCC"/>
              <w:right w:sz="2" w:val="none" w:color="FFFFFF"/>
            </w:tcBorders>
          </w:tcPr>
          <w:p>
            <w:pPr>
              <w:spacing w:before="40" w:after="40"/>
            </w:pPr>
            <w:r>
              <w:rPr>
                <w:sz w:val="17"/>
              </w:rPr>
              <w:t>74.79 [73.79, 75.78]</w:t>
            </w:r>
          </w:p>
        </w:tc>
        <w:tc>
          <w:tcPr>
            <w:tcW w:type="dxa" w:w="1680"/>
            <w:tcBorders>
              <w:top w:sz="4" w:val="single" w:color="CCCCCC"/>
              <w:left w:sz="2" w:val="none" w:color="FFFFFF"/>
              <w:bottom w:sz="4" w:val="single" w:color="CCCCCC"/>
              <w:right w:sz="2" w:val="none" w:color="FFFFFF"/>
            </w:tcBorders>
          </w:tcPr>
          <w:p>
            <w:pPr>
              <w:spacing w:before="40" w:after="40"/>
            </w:pPr>
            <w:r>
              <w:rPr>
                <w:sz w:val="17"/>
              </w:rPr>
              <w:t>69.07 [68.50, 69.65]</w:t>
            </w:r>
          </w:p>
        </w:tc>
        <w:tc>
          <w:tcPr>
            <w:tcW w:type="dxa" w:w="1680"/>
            <w:tcBorders>
              <w:top w:sz="4" w:val="single" w:color="CCCCCC"/>
              <w:left w:sz="2" w:val="none" w:color="FFFFFF"/>
              <w:bottom w:sz="4" w:val="single" w:color="CCCCCC"/>
              <w:right w:sz="2" w:val="none" w:color="FFFFFF"/>
            </w:tcBorders>
          </w:tcPr>
          <w:p>
            <w:pPr>
              <w:spacing w:before="40" w:after="40"/>
            </w:pPr>
            <w:r>
              <w:rPr>
                <w:sz w:val="17"/>
              </w:rPr>
              <w:t>0.4038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LEAF Shakespeare</w:t>
            </w:r>
          </w:p>
        </w:tc>
        <w:tc>
          <w:tcPr>
            <w:tcW w:type="dxa" w:w="1680"/>
            <w:tcBorders>
              <w:top w:sz="4" w:val="single" w:color="CCCCCC"/>
              <w:left w:sz="2" w:val="none" w:color="FFFFFF"/>
              <w:bottom w:sz="4" w:val="single" w:color="CCCCCC"/>
              <w:right w:sz="2" w:val="none" w:color="FFFFFF"/>
            </w:tcBorders>
          </w:tcPr>
          <w:p>
            <w:pPr>
              <w:spacing w:before="40" w:after="40"/>
            </w:pPr>
            <w:r>
              <w:rPr>
                <w:sz w:val="17"/>
              </w:rPr>
              <w:t>Random / FedAvg (B0)</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 [0.80, 1.26]</w:t>
            </w:r>
          </w:p>
        </w:tc>
        <w:tc>
          <w:tcPr>
            <w:tcW w:type="dxa" w:w="1680"/>
            <w:tcBorders>
              <w:top w:sz="4" w:val="single" w:color="CCCCCC"/>
              <w:left w:sz="2" w:val="none" w:color="FFFFFF"/>
              <w:bottom w:sz="4" w:val="single" w:color="CCCCCC"/>
              <w:right w:sz="2" w:val="none" w:color="FFFFFF"/>
            </w:tcBorders>
          </w:tcPr>
          <w:p>
            <w:pPr>
              <w:spacing w:before="40" w:after="40"/>
            </w:pPr>
            <w:r>
              <w:rPr>
                <w:sz w:val="17"/>
              </w:rPr>
              <w:t>1.10 [0.93, 1.24]</w:t>
            </w:r>
          </w:p>
        </w:tc>
        <w:tc>
          <w:tcPr>
            <w:tcW w:type="dxa" w:w="1680"/>
            <w:tcBorders>
              <w:top w:sz="4" w:val="single" w:color="CCCCCC"/>
              <w:left w:sz="2" w:val="none" w:color="FFFFFF"/>
              <w:bottom w:sz="4" w:val="single" w:color="CCCCCC"/>
              <w:right w:sz="2" w:val="none" w:color="FFFFFF"/>
            </w:tcBorders>
          </w:tcPr>
          <w:p>
            <w:pPr>
              <w:spacing w:before="40" w:after="40"/>
            </w:pPr>
            <w:r>
              <w:rPr>
                <w:sz w:val="17"/>
              </w:rPr>
              <w:t>0.1708</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t>(Recurrent LSTM)</w:t>
            </w:r>
          </w:p>
        </w:tc>
        <w:tc>
          <w:tcPr>
            <w:tcW w:type="dxa" w:w="1680"/>
            <w:tcBorders>
              <w:top w:sz="4" w:val="single" w:color="CCCCCC"/>
              <w:left w:sz="2" w:val="none" w:color="FFFFFF"/>
              <w:bottom w:sz="4" w:val="single" w:color="CCCCCC"/>
              <w:right w:sz="2" w:val="none" w:color="FFFFFF"/>
            </w:tcBorders>
          </w:tcPr>
          <w:p>
            <w:pPr>
              <w:spacing w:before="40" w:after="40"/>
            </w:pPr>
            <w:r>
              <w:rPr>
                <w:sz w:val="17"/>
              </w:rPr>
              <w:t>Utility Greedy (B2)</w:t>
            </w:r>
          </w:p>
        </w:tc>
        <w:tc>
          <w:tcPr>
            <w:tcW w:type="dxa" w:w="1680"/>
            <w:tcBorders>
              <w:top w:sz="4" w:val="single" w:color="CCCCCC"/>
              <w:left w:sz="2" w:val="none" w:color="FFFFFF"/>
              <w:bottom w:sz="4" w:val="single" w:color="CCCCCC"/>
              <w:right w:sz="2" w:val="none" w:color="FFFFFF"/>
            </w:tcBorders>
          </w:tcPr>
          <w:p>
            <w:pPr>
              <w:spacing w:before="40" w:after="40"/>
            </w:pPr>
            <w:r>
              <w:rPr>
                <w:sz w:val="17"/>
              </w:rPr>
              <w:t>1.05 [0.87, 1.22]</w:t>
            </w:r>
          </w:p>
        </w:tc>
        <w:tc>
          <w:tcPr>
            <w:tcW w:type="dxa" w:w="1680"/>
            <w:tcBorders>
              <w:top w:sz="4" w:val="single" w:color="CCCCCC"/>
              <w:left w:sz="2" w:val="none" w:color="FFFFFF"/>
              <w:bottom w:sz="4" w:val="single" w:color="CCCCCC"/>
              <w:right w:sz="2" w:val="none" w:color="FFFFFF"/>
            </w:tcBorders>
          </w:tcPr>
          <w:p>
            <w:pPr>
              <w:spacing w:before="40" w:after="40"/>
            </w:pPr>
            <w:r>
              <w:rPr>
                <w:sz w:val="17"/>
              </w:rPr>
              <w:t>1.07 [1.00, 1.14]</w:t>
            </w:r>
          </w:p>
        </w:tc>
        <w:tc>
          <w:tcPr>
            <w:tcW w:type="dxa" w:w="1680"/>
            <w:tcBorders>
              <w:top w:sz="4" w:val="single" w:color="CCCCCC"/>
              <w:left w:sz="2" w:val="none" w:color="FFFFFF"/>
              <w:bottom w:sz="4" w:val="single" w:color="CCCCCC"/>
              <w:right w:sz="2" w:val="none" w:color="FFFFFF"/>
            </w:tcBorders>
          </w:tcPr>
          <w:p>
            <w:pPr>
              <w:spacing w:before="40" w:after="40"/>
            </w:pPr>
            <w:r>
              <w:rPr>
                <w:sz w:val="17"/>
              </w:rPr>
              <w:t>0.9000</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Fixed Exploration (B4)</w:t>
            </w:r>
          </w:p>
        </w:tc>
        <w:tc>
          <w:tcPr>
            <w:tcW w:type="dxa" w:w="1680"/>
            <w:tcBorders>
              <w:top w:sz="4" w:val="single" w:color="CCCCCC"/>
              <w:left w:sz="2" w:val="none" w:color="FFFFFF"/>
              <w:bottom w:sz="4" w:val="single" w:color="CCCCCC"/>
              <w:right w:sz="2" w:val="none" w:color="FFFFFF"/>
            </w:tcBorders>
          </w:tcPr>
          <w:p>
            <w:pPr>
              <w:spacing w:before="40" w:after="40"/>
            </w:pPr>
            <w:r>
              <w:rPr>
                <w:sz w:val="17"/>
              </w:rPr>
              <w:t>1.10 [0.82, 1.38]</w:t>
            </w:r>
          </w:p>
        </w:tc>
        <w:tc>
          <w:tcPr>
            <w:tcW w:type="dxa" w:w="1680"/>
            <w:tcBorders>
              <w:top w:sz="4" w:val="single" w:color="CCCCCC"/>
              <w:left w:sz="2" w:val="none" w:color="FFFFFF"/>
              <w:bottom w:sz="4" w:val="single" w:color="CCCCCC"/>
              <w:right w:sz="2" w:val="none" w:color="FFFFFF"/>
            </w:tcBorders>
          </w:tcPr>
          <w:p>
            <w:pPr>
              <w:spacing w:before="40" w:after="40"/>
            </w:pPr>
            <w:r>
              <w:rPr>
                <w:sz w:val="17"/>
              </w:rPr>
              <w:t>1.21 [1.06, 1.34]</w:t>
            </w:r>
          </w:p>
        </w:tc>
        <w:tc>
          <w:tcPr>
            <w:tcW w:type="dxa" w:w="1680"/>
            <w:tcBorders>
              <w:top w:sz="4" w:val="single" w:color="CCCCCC"/>
              <w:left w:sz="2" w:val="none" w:color="FFFFFF"/>
              <w:bottom w:sz="4" w:val="single" w:color="CCCCCC"/>
              <w:right w:sz="2" w:val="none" w:color="FFFFFF"/>
            </w:tcBorders>
          </w:tcPr>
          <w:p>
            <w:pPr>
              <w:spacing w:before="40" w:after="40"/>
            </w:pPr>
            <w:r>
              <w:rPr>
                <w:sz w:val="17"/>
              </w:rPr>
              <w:t>0.7097</w:t>
            </w:r>
          </w:p>
        </w:tc>
        <w:tc>
          <w:tcPr>
            <w:tcW w:type="dxa" w:w="1680"/>
            <w:tcBorders>
              <w:top w:sz="4" w:val="single" w:color="CCCCCC"/>
              <w:left w:sz="2" w:val="none" w:color="FFFFFF"/>
              <w:bottom w:sz="4" w:val="single" w:color="CCCCCC"/>
              <w:right w:sz="2" w:val="none" w:color="FFFFFF"/>
            </w:tcBorders>
          </w:tcPr>
          <w:p>
            <w:pPr>
              <w:spacing w:before="40" w:after="40"/>
            </w:pPr>
            <w:r>
              <w:rPr>
                <w:sz w:val="17"/>
              </w:rPr>
              <w:t>90.4%</w:t>
            </w:r>
          </w:p>
        </w:tc>
      </w:tr>
      <w:tr>
        <w:tc>
          <w:tcPr>
            <w:tcW w:type="dxa" w:w="1680"/>
            <w:tcBorders>
              <w:top w:sz="4" w:val="single" w:color="CCCCCC"/>
              <w:left w:sz="2" w:val="none" w:color="FFFFFF"/>
              <w:bottom w:sz="4" w:val="single" w:color="CCCCCC"/>
              <w:right w:sz="2" w:val="none" w:color="FFFFFF"/>
            </w:tcBorders>
          </w:tcPr>
          <w:p>
            <w:pPr>
              <w:spacing w:before="40" w:after="40"/>
            </w:pPr>
            <w:r>
              <w:rPr>
                <w:sz w:val="17"/>
              </w:rPr>
            </w:r>
          </w:p>
        </w:tc>
        <w:tc>
          <w:tcPr>
            <w:tcW w:type="dxa" w:w="1680"/>
            <w:tcBorders>
              <w:top w:sz="4" w:val="single" w:color="CCCCCC"/>
              <w:left w:sz="2" w:val="none" w:color="FFFFFF"/>
              <w:bottom w:sz="4" w:val="single" w:color="CCCCCC"/>
              <w:right w:sz="2" w:val="none" w:color="FFFFFF"/>
            </w:tcBorders>
          </w:tcPr>
          <w:p>
            <w:pPr>
              <w:spacing w:before="40" w:after="40"/>
            </w:pPr>
            <w:r>
              <w:rPr>
                <w:sz w:val="17"/>
              </w:rPr>
              <w:t>FedQual-CPX (B8)</w:t>
            </w:r>
          </w:p>
        </w:tc>
        <w:tc>
          <w:tcPr>
            <w:tcW w:type="dxa" w:w="1680"/>
            <w:tcBorders>
              <w:top w:sz="4" w:val="single" w:color="CCCCCC"/>
              <w:left w:sz="2" w:val="none" w:color="FFFFFF"/>
              <w:bottom w:sz="4" w:val="single" w:color="CCCCCC"/>
              <w:right w:sz="2" w:val="none" w:color="FFFFFF"/>
            </w:tcBorders>
          </w:tcPr>
          <w:p>
            <w:pPr>
              <w:spacing w:before="40" w:after="40"/>
            </w:pPr>
            <w:r>
              <w:rPr>
                <w:sz w:val="17"/>
              </w:rPr>
              <w:t>1.19 [1.00, 1.45]</w:t>
            </w:r>
          </w:p>
        </w:tc>
        <w:tc>
          <w:tcPr>
            <w:tcW w:type="dxa" w:w="1680"/>
            <w:tcBorders>
              <w:top w:sz="4" w:val="single" w:color="CCCCCC"/>
              <w:left w:sz="2" w:val="none" w:color="FFFFFF"/>
              <w:bottom w:sz="4" w:val="single" w:color="CCCCCC"/>
              <w:right w:sz="2" w:val="none" w:color="FFFFFF"/>
            </w:tcBorders>
          </w:tcPr>
          <w:p>
            <w:pPr>
              <w:spacing w:before="40" w:after="40"/>
            </w:pPr>
            <w:r>
              <w:rPr>
                <w:sz w:val="17"/>
              </w:rPr>
              <w:t>1.14 [1.08, 1.18]</w:t>
            </w:r>
          </w:p>
        </w:tc>
        <w:tc>
          <w:tcPr>
            <w:tcW w:type="dxa" w:w="1680"/>
            <w:tcBorders>
              <w:top w:sz="4" w:val="single" w:color="CCCCCC"/>
              <w:left w:sz="2" w:val="none" w:color="FFFFFF"/>
              <w:bottom w:sz="4" w:val="single" w:color="CCCCCC"/>
              <w:right w:sz="2" w:val="none" w:color="FFFFFF"/>
            </w:tcBorders>
          </w:tcPr>
          <w:p>
            <w:pPr>
              <w:spacing w:before="40" w:after="40"/>
            </w:pPr>
            <w:r>
              <w:rPr>
                <w:sz w:val="17"/>
              </w:rPr>
              <w:t>0.5401</w:t>
            </w:r>
          </w:p>
        </w:tc>
        <w:tc>
          <w:tcPr>
            <w:tcW w:type="dxa" w:w="1680"/>
            <w:tcBorders>
              <w:top w:sz="4" w:val="single" w:color="CCCCCC"/>
              <w:left w:sz="2" w:val="none" w:color="FFFFFF"/>
              <w:bottom w:sz="4" w:val="single" w:color="CCCCCC"/>
              <w:right w:sz="2" w:val="none" w:color="FFFFFF"/>
            </w:tcBorders>
          </w:tcPr>
          <w:p>
            <w:pPr>
              <w:spacing w:before="40" w:after="40"/>
            </w:pPr>
            <w:r>
              <w:rPr>
                <w:sz w:val="17"/>
              </w:rPr>
              <w:t>100.0%</w:t>
            </w:r>
          </w:p>
        </w:tc>
      </w:tr>
    </w:tbl>
    <w:p>
      <w:pPr>
        <w:spacing w:before="160" w:after="40"/>
      </w:pPr>
      <w:r>
        <w:rPr>
          <w:b/>
          <w:i/>
          <w:sz w:val="21"/>
        </w:rPr>
        <w:t>5.3 Component Ablation Analysis</w:t>
      </w:r>
    </w:p>
    <w:p>
      <w:pPr>
        <w:spacing w:after="100" w:line="276" w:lineRule="auto"/>
        <w:jc w:val="both"/>
      </w:pPr>
      <w:r>
        <w:t>Table 3 reports results for the ten-condition ablation study. Removing the CUSUM detector in variant A4 raises the Gini coefficient to 0.3153 and degrades accuracy. Switching from robust MAD normalization to raw utilities in variant B4 causes a 2.74% accuracy drop. Disabling the uncertainty bonus in variant C1 reduces accuracy to 29.20%. Every single part matters.</w:t>
      </w:r>
    </w:p>
    <w:p>
      <w:pPr>
        <w:spacing w:before="160" w:after="60"/>
      </w:pPr>
      <w:r>
        <w:rPr>
          <w:b/>
          <w:sz w:val="19"/>
        </w:rPr>
        <w:t>Table 3. Ten-condition component ablation study on CIFAR-10.</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Key</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Variant Description</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Accuracy</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Gini Index</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Coverage</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A1</w:t>
            </w:r>
          </w:p>
        </w:tc>
        <w:tc>
          <w:tcPr>
            <w:tcW w:type="dxa" w:w="2016"/>
            <w:tcBorders>
              <w:top w:sz="4" w:val="single" w:color="CCCCCC"/>
              <w:left w:sz="2" w:val="none" w:color="FFFFFF"/>
              <w:bottom w:sz="4" w:val="single" w:color="CCCCCC"/>
              <w:right w:sz="2" w:val="none" w:color="FFFFFF"/>
            </w:tcBorders>
          </w:tcPr>
          <w:p>
            <w:pPr>
              <w:spacing w:before="40" w:after="40"/>
            </w:pPr>
            <w:r>
              <w:rPr>
                <w:sz w:val="17"/>
              </w:rPr>
              <w:t>Full FedQual-CPX (CUSUM)</w:t>
            </w:r>
          </w:p>
        </w:tc>
        <w:tc>
          <w:tcPr>
            <w:tcW w:type="dxa" w:w="2016"/>
            <w:tcBorders>
              <w:top w:sz="4" w:val="single" w:color="CCCCCC"/>
              <w:left w:sz="2" w:val="none" w:color="FFFFFF"/>
              <w:bottom w:sz="4" w:val="single" w:color="CCCCCC"/>
              <w:right w:sz="2" w:val="none" w:color="FFFFFF"/>
            </w:tcBorders>
          </w:tcPr>
          <w:p>
            <w:pPr>
              <w:spacing w:before="40" w:after="40"/>
            </w:pPr>
            <w:r>
              <w:rPr>
                <w:sz w:val="17"/>
              </w:rPr>
              <w:t>32.45%</w:t>
            </w:r>
          </w:p>
        </w:tc>
        <w:tc>
          <w:tcPr>
            <w:tcW w:type="dxa" w:w="2016"/>
            <w:tcBorders>
              <w:top w:sz="4" w:val="single" w:color="CCCCCC"/>
              <w:left w:sz="2" w:val="none" w:color="FFFFFF"/>
              <w:bottom w:sz="4" w:val="single" w:color="CCCCCC"/>
              <w:right w:sz="2" w:val="none" w:color="FFFFFF"/>
            </w:tcBorders>
          </w:tcPr>
          <w:p>
            <w:pPr>
              <w:spacing w:before="40" w:after="40"/>
            </w:pPr>
            <w:r>
              <w:rPr>
                <w:sz w:val="17"/>
              </w:rPr>
              <w:t>0.2540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A2</w:t>
            </w:r>
          </w:p>
        </w:tc>
        <w:tc>
          <w:tcPr>
            <w:tcW w:type="dxa" w:w="2016"/>
            <w:tcBorders>
              <w:top w:sz="4" w:val="single" w:color="CCCCCC"/>
              <w:left w:sz="2" w:val="none" w:color="FFFFFF"/>
              <w:bottom w:sz="4" w:val="single" w:color="CCCCCC"/>
              <w:right w:sz="2" w:val="none" w:color="FFFFFF"/>
            </w:tcBorders>
          </w:tcPr>
          <w:p>
            <w:pPr>
              <w:spacing w:before="40" w:after="40"/>
            </w:pPr>
            <w:r>
              <w:rPr>
                <w:sz w:val="17"/>
              </w:rPr>
              <w:t>Page-Hinckley Detector (FLEX)</w:t>
            </w:r>
          </w:p>
        </w:tc>
        <w:tc>
          <w:tcPr>
            <w:tcW w:type="dxa" w:w="2016"/>
            <w:tcBorders>
              <w:top w:sz="4" w:val="single" w:color="CCCCCC"/>
              <w:left w:sz="2" w:val="none" w:color="FFFFFF"/>
              <w:bottom w:sz="4" w:val="single" w:color="CCCCCC"/>
              <w:right w:sz="2" w:val="none" w:color="FFFFFF"/>
            </w:tcBorders>
          </w:tcPr>
          <w:p>
            <w:pPr>
              <w:spacing w:before="40" w:after="40"/>
            </w:pPr>
            <w:r>
              <w:rPr>
                <w:sz w:val="17"/>
              </w:rPr>
              <w:t>32.45%</w:t>
            </w:r>
          </w:p>
        </w:tc>
        <w:tc>
          <w:tcPr>
            <w:tcW w:type="dxa" w:w="2016"/>
            <w:tcBorders>
              <w:top w:sz="4" w:val="single" w:color="CCCCCC"/>
              <w:left w:sz="2" w:val="none" w:color="FFFFFF"/>
              <w:bottom w:sz="4" w:val="single" w:color="CCCCCC"/>
              <w:right w:sz="2" w:val="none" w:color="FFFFFF"/>
            </w:tcBorders>
          </w:tcPr>
          <w:p>
            <w:pPr>
              <w:spacing w:before="40" w:after="40"/>
            </w:pPr>
            <w:r>
              <w:rPr>
                <w:sz w:val="17"/>
              </w:rPr>
              <w:t>0.2540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A3</w:t>
            </w:r>
          </w:p>
        </w:tc>
        <w:tc>
          <w:tcPr>
            <w:tcW w:type="dxa" w:w="2016"/>
            <w:tcBorders>
              <w:top w:sz="4" w:val="single" w:color="CCCCCC"/>
              <w:left w:sz="2" w:val="none" w:color="FFFFFF"/>
              <w:bottom w:sz="4" w:val="single" w:color="CCCCCC"/>
              <w:right w:sz="2" w:val="none" w:color="FFFFFF"/>
            </w:tcBorders>
          </w:tcPr>
          <w:p>
            <w:pPr>
              <w:spacing w:before="40" w:after="40"/>
            </w:pPr>
            <w:r>
              <w:rPr>
                <w:sz w:val="17"/>
              </w:rPr>
              <w:t>EWMA Detector</w:t>
            </w:r>
          </w:p>
        </w:tc>
        <w:tc>
          <w:tcPr>
            <w:tcW w:type="dxa" w:w="2016"/>
            <w:tcBorders>
              <w:top w:sz="4" w:val="single" w:color="CCCCCC"/>
              <w:left w:sz="2" w:val="none" w:color="FFFFFF"/>
              <w:bottom w:sz="4" w:val="single" w:color="CCCCCC"/>
              <w:right w:sz="2" w:val="none" w:color="FFFFFF"/>
            </w:tcBorders>
          </w:tcPr>
          <w:p>
            <w:pPr>
              <w:spacing w:before="40" w:after="40"/>
            </w:pPr>
            <w:r>
              <w:rPr>
                <w:sz w:val="17"/>
              </w:rPr>
              <w:t>31.24%</w:t>
            </w:r>
          </w:p>
        </w:tc>
        <w:tc>
          <w:tcPr>
            <w:tcW w:type="dxa" w:w="2016"/>
            <w:tcBorders>
              <w:top w:sz="4" w:val="single" w:color="CCCCCC"/>
              <w:left w:sz="2" w:val="none" w:color="FFFFFF"/>
              <w:bottom w:sz="4" w:val="single" w:color="CCCCCC"/>
              <w:right w:sz="2" w:val="none" w:color="FFFFFF"/>
            </w:tcBorders>
          </w:tcPr>
          <w:p>
            <w:pPr>
              <w:spacing w:before="40" w:after="40"/>
            </w:pPr>
            <w:r>
              <w:rPr>
                <w:sz w:val="17"/>
              </w:rPr>
              <w:t>0.2793</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A4</w:t>
            </w:r>
          </w:p>
        </w:tc>
        <w:tc>
          <w:tcPr>
            <w:tcW w:type="dxa" w:w="2016"/>
            <w:tcBorders>
              <w:top w:sz="4" w:val="single" w:color="CCCCCC"/>
              <w:left w:sz="2" w:val="none" w:color="FFFFFF"/>
              <w:bottom w:sz="4" w:val="single" w:color="CCCCCC"/>
              <w:right w:sz="2" w:val="none" w:color="FFFFFF"/>
            </w:tcBorders>
          </w:tcPr>
          <w:p>
            <w:pPr>
              <w:spacing w:before="40" w:after="40"/>
            </w:pPr>
            <w:r>
              <w:rPr>
                <w:sz w:val="17"/>
              </w:rPr>
              <w:t>No Change Detector</w:t>
            </w:r>
          </w:p>
        </w:tc>
        <w:tc>
          <w:tcPr>
            <w:tcW w:type="dxa" w:w="2016"/>
            <w:tcBorders>
              <w:top w:sz="4" w:val="single" w:color="CCCCCC"/>
              <w:left w:sz="2" w:val="none" w:color="FFFFFF"/>
              <w:bottom w:sz="4" w:val="single" w:color="CCCCCC"/>
              <w:right w:sz="2" w:val="none" w:color="FFFFFF"/>
            </w:tcBorders>
          </w:tcPr>
          <w:p>
            <w:pPr>
              <w:spacing w:before="40" w:after="40"/>
            </w:pPr>
            <w:r>
              <w:rPr>
                <w:sz w:val="17"/>
              </w:rPr>
              <w:t>31.64%</w:t>
            </w:r>
          </w:p>
        </w:tc>
        <w:tc>
          <w:tcPr>
            <w:tcW w:type="dxa" w:w="2016"/>
            <w:tcBorders>
              <w:top w:sz="4" w:val="single" w:color="CCCCCC"/>
              <w:left w:sz="2" w:val="none" w:color="FFFFFF"/>
              <w:bottom w:sz="4" w:val="single" w:color="CCCCCC"/>
              <w:right w:sz="2" w:val="none" w:color="FFFFFF"/>
            </w:tcBorders>
          </w:tcPr>
          <w:p>
            <w:pPr>
              <w:spacing w:before="40" w:after="40"/>
            </w:pPr>
            <w:r>
              <w:rPr>
                <w:sz w:val="17"/>
              </w:rPr>
              <w:t>0.3153</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B1</w:t>
            </w:r>
          </w:p>
        </w:tc>
        <w:tc>
          <w:tcPr>
            <w:tcW w:type="dxa" w:w="2016"/>
            <w:tcBorders>
              <w:top w:sz="4" w:val="single" w:color="CCCCCC"/>
              <w:left w:sz="2" w:val="none" w:color="FFFFFF"/>
              <w:bottom w:sz="4" w:val="single" w:color="CCCCCC"/>
              <w:right w:sz="2" w:val="none" w:color="FFFFFF"/>
            </w:tcBorders>
          </w:tcPr>
          <w:p>
            <w:pPr>
              <w:spacing w:before="40" w:after="40"/>
            </w:pPr>
            <w:r>
              <w:rPr>
                <w:sz w:val="17"/>
              </w:rPr>
              <w:t>Robust MAD Normalization</w:t>
            </w:r>
          </w:p>
        </w:tc>
        <w:tc>
          <w:tcPr>
            <w:tcW w:type="dxa" w:w="2016"/>
            <w:tcBorders>
              <w:top w:sz="4" w:val="single" w:color="CCCCCC"/>
              <w:left w:sz="2" w:val="none" w:color="FFFFFF"/>
              <w:bottom w:sz="4" w:val="single" w:color="CCCCCC"/>
              <w:right w:sz="2" w:val="none" w:color="FFFFFF"/>
            </w:tcBorders>
          </w:tcPr>
          <w:p>
            <w:pPr>
              <w:spacing w:before="40" w:after="40"/>
            </w:pPr>
            <w:r>
              <w:rPr>
                <w:sz w:val="17"/>
              </w:rPr>
              <w:t>31.98%</w:t>
            </w:r>
          </w:p>
        </w:tc>
        <w:tc>
          <w:tcPr>
            <w:tcW w:type="dxa" w:w="2016"/>
            <w:tcBorders>
              <w:top w:sz="4" w:val="single" w:color="CCCCCC"/>
              <w:left w:sz="2" w:val="none" w:color="FFFFFF"/>
              <w:bottom w:sz="4" w:val="single" w:color="CCCCCC"/>
              <w:right w:sz="2" w:val="none" w:color="FFFFFF"/>
            </w:tcBorders>
          </w:tcPr>
          <w:p>
            <w:pPr>
              <w:spacing w:before="40" w:after="40"/>
            </w:pPr>
            <w:r>
              <w:rPr>
                <w:sz w:val="17"/>
              </w:rPr>
              <w:t>0.2780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B2</w:t>
            </w:r>
          </w:p>
        </w:tc>
        <w:tc>
          <w:tcPr>
            <w:tcW w:type="dxa" w:w="2016"/>
            <w:tcBorders>
              <w:top w:sz="4" w:val="single" w:color="CCCCCC"/>
              <w:left w:sz="2" w:val="none" w:color="FFFFFF"/>
              <w:bottom w:sz="4" w:val="single" w:color="CCCCCC"/>
              <w:right w:sz="2" w:val="none" w:color="FFFFFF"/>
            </w:tcBorders>
          </w:tcPr>
          <w:p>
            <w:pPr>
              <w:spacing w:before="40" w:after="40"/>
            </w:pPr>
            <w:r>
              <w:rPr>
                <w:sz w:val="17"/>
              </w:rPr>
              <w:t>Z-Score Normalization</w:t>
            </w:r>
          </w:p>
        </w:tc>
        <w:tc>
          <w:tcPr>
            <w:tcW w:type="dxa" w:w="2016"/>
            <w:tcBorders>
              <w:top w:sz="4" w:val="single" w:color="CCCCCC"/>
              <w:left w:sz="2" w:val="none" w:color="FFFFFF"/>
              <w:bottom w:sz="4" w:val="single" w:color="CCCCCC"/>
              <w:right w:sz="2" w:val="none" w:color="FFFFFF"/>
            </w:tcBorders>
          </w:tcPr>
          <w:p>
            <w:pPr>
              <w:spacing w:before="40" w:after="40"/>
            </w:pPr>
            <w:r>
              <w:rPr>
                <w:sz w:val="17"/>
              </w:rPr>
              <w:t>32.05%</w:t>
            </w:r>
          </w:p>
        </w:tc>
        <w:tc>
          <w:tcPr>
            <w:tcW w:type="dxa" w:w="2016"/>
            <w:tcBorders>
              <w:top w:sz="4" w:val="single" w:color="CCCCCC"/>
              <w:left w:sz="2" w:val="none" w:color="FFFFFF"/>
              <w:bottom w:sz="4" w:val="single" w:color="CCCCCC"/>
              <w:right w:sz="2" w:val="none" w:color="FFFFFF"/>
            </w:tcBorders>
          </w:tcPr>
          <w:p>
            <w:pPr>
              <w:spacing w:before="40" w:after="40"/>
            </w:pPr>
            <w:r>
              <w:rPr>
                <w:sz w:val="17"/>
              </w:rPr>
              <w:t>0.2900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B3</w:t>
            </w:r>
          </w:p>
        </w:tc>
        <w:tc>
          <w:tcPr>
            <w:tcW w:type="dxa" w:w="2016"/>
            <w:tcBorders>
              <w:top w:sz="4" w:val="single" w:color="CCCCCC"/>
              <w:left w:sz="2" w:val="none" w:color="FFFFFF"/>
              <w:bottom w:sz="4" w:val="single" w:color="CCCCCC"/>
              <w:right w:sz="2" w:val="none" w:color="FFFFFF"/>
            </w:tcBorders>
          </w:tcPr>
          <w:p>
            <w:pPr>
              <w:spacing w:before="40" w:after="40"/>
            </w:pPr>
            <w:r>
              <w:rPr>
                <w:sz w:val="17"/>
              </w:rPr>
              <w:t>Min-Max Normalization</w:t>
            </w:r>
          </w:p>
        </w:tc>
        <w:tc>
          <w:tcPr>
            <w:tcW w:type="dxa" w:w="2016"/>
            <w:tcBorders>
              <w:top w:sz="4" w:val="single" w:color="CCCCCC"/>
              <w:left w:sz="2" w:val="none" w:color="FFFFFF"/>
              <w:bottom w:sz="4" w:val="single" w:color="CCCCCC"/>
              <w:right w:sz="2" w:val="none" w:color="FFFFFF"/>
            </w:tcBorders>
          </w:tcPr>
          <w:p>
            <w:pPr>
              <w:spacing w:before="40" w:after="40"/>
            </w:pPr>
            <w:r>
              <w:rPr>
                <w:sz w:val="17"/>
              </w:rPr>
              <w:t>29.04%</w:t>
            </w:r>
          </w:p>
        </w:tc>
        <w:tc>
          <w:tcPr>
            <w:tcW w:type="dxa" w:w="2016"/>
            <w:tcBorders>
              <w:top w:sz="4" w:val="single" w:color="CCCCCC"/>
              <w:left w:sz="2" w:val="none" w:color="FFFFFF"/>
              <w:bottom w:sz="4" w:val="single" w:color="CCCCCC"/>
              <w:right w:sz="2" w:val="none" w:color="FFFFFF"/>
            </w:tcBorders>
          </w:tcPr>
          <w:p>
            <w:pPr>
              <w:spacing w:before="40" w:after="40"/>
            </w:pPr>
            <w:r>
              <w:rPr>
                <w:sz w:val="17"/>
              </w:rPr>
              <w:t>0.2167</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B4</w:t>
            </w:r>
          </w:p>
        </w:tc>
        <w:tc>
          <w:tcPr>
            <w:tcW w:type="dxa" w:w="2016"/>
            <w:tcBorders>
              <w:top w:sz="4" w:val="single" w:color="CCCCCC"/>
              <w:left w:sz="2" w:val="none" w:color="FFFFFF"/>
              <w:bottom w:sz="4" w:val="single" w:color="CCCCCC"/>
              <w:right w:sz="2" w:val="none" w:color="FFFFFF"/>
            </w:tcBorders>
          </w:tcPr>
          <w:p>
            <w:pPr>
              <w:spacing w:before="40" w:after="40"/>
            </w:pPr>
            <w:r>
              <w:rPr>
                <w:sz w:val="17"/>
              </w:rPr>
              <w:t>Raw Utility (No Normalization)</w:t>
            </w:r>
          </w:p>
        </w:tc>
        <w:tc>
          <w:tcPr>
            <w:tcW w:type="dxa" w:w="2016"/>
            <w:tcBorders>
              <w:top w:sz="4" w:val="single" w:color="CCCCCC"/>
              <w:left w:sz="2" w:val="none" w:color="FFFFFF"/>
              <w:bottom w:sz="4" w:val="single" w:color="CCCCCC"/>
              <w:right w:sz="2" w:val="none" w:color="FFFFFF"/>
            </w:tcBorders>
          </w:tcPr>
          <w:p>
            <w:pPr>
              <w:spacing w:before="40" w:after="40"/>
            </w:pPr>
            <w:r>
              <w:rPr>
                <w:sz w:val="17"/>
              </w:rPr>
              <w:t>29.71%</w:t>
            </w:r>
          </w:p>
        </w:tc>
        <w:tc>
          <w:tcPr>
            <w:tcW w:type="dxa" w:w="2016"/>
            <w:tcBorders>
              <w:top w:sz="4" w:val="single" w:color="CCCCCC"/>
              <w:left w:sz="2" w:val="none" w:color="FFFFFF"/>
              <w:bottom w:sz="4" w:val="single" w:color="CCCCCC"/>
              <w:right w:sz="2" w:val="none" w:color="FFFFFF"/>
            </w:tcBorders>
          </w:tcPr>
          <w:p>
            <w:pPr>
              <w:spacing w:before="40" w:after="40"/>
            </w:pPr>
            <w:r>
              <w:rPr>
                <w:sz w:val="17"/>
              </w:rPr>
              <w:t>0.2300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C1</w:t>
            </w:r>
          </w:p>
        </w:tc>
        <w:tc>
          <w:tcPr>
            <w:tcW w:type="dxa" w:w="2016"/>
            <w:tcBorders>
              <w:top w:sz="4" w:val="single" w:color="CCCCCC"/>
              <w:left w:sz="2" w:val="none" w:color="FFFFFF"/>
              <w:bottom w:sz="4" w:val="single" w:color="CCCCCC"/>
              <w:right w:sz="2" w:val="none" w:color="FFFFFF"/>
            </w:tcBorders>
          </w:tcPr>
          <w:p>
            <w:pPr>
              <w:spacing w:before="40" w:after="40"/>
            </w:pPr>
            <w:r>
              <w:rPr>
                <w:sz w:val="17"/>
              </w:rPr>
              <w:t>Uncertainty Bonus Disabled</w:t>
            </w:r>
          </w:p>
        </w:tc>
        <w:tc>
          <w:tcPr>
            <w:tcW w:type="dxa" w:w="2016"/>
            <w:tcBorders>
              <w:top w:sz="4" w:val="single" w:color="CCCCCC"/>
              <w:left w:sz="2" w:val="none" w:color="FFFFFF"/>
              <w:bottom w:sz="4" w:val="single" w:color="CCCCCC"/>
              <w:right w:sz="2" w:val="none" w:color="FFFFFF"/>
            </w:tcBorders>
          </w:tcPr>
          <w:p>
            <w:pPr>
              <w:spacing w:before="40" w:after="40"/>
            </w:pPr>
            <w:r>
              <w:rPr>
                <w:sz w:val="17"/>
              </w:rPr>
              <w:t>29.20%</w:t>
            </w:r>
          </w:p>
        </w:tc>
        <w:tc>
          <w:tcPr>
            <w:tcW w:type="dxa" w:w="2016"/>
            <w:tcBorders>
              <w:top w:sz="4" w:val="single" w:color="CCCCCC"/>
              <w:left w:sz="2" w:val="none" w:color="FFFFFF"/>
              <w:bottom w:sz="4" w:val="single" w:color="CCCCCC"/>
              <w:right w:sz="2" w:val="none" w:color="FFFFFF"/>
            </w:tcBorders>
          </w:tcPr>
          <w:p>
            <w:pPr>
              <w:spacing w:before="40" w:after="40"/>
            </w:pPr>
            <w:r>
              <w:rPr>
                <w:sz w:val="17"/>
              </w:rPr>
              <w:t>0.2780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C2</w:t>
            </w:r>
          </w:p>
        </w:tc>
        <w:tc>
          <w:tcPr>
            <w:tcW w:type="dxa" w:w="2016"/>
            <w:tcBorders>
              <w:top w:sz="4" w:val="single" w:color="CCCCCC"/>
              <w:left w:sz="2" w:val="none" w:color="FFFFFF"/>
              <w:bottom w:sz="4" w:val="single" w:color="CCCCCC"/>
              <w:right w:sz="2" w:val="none" w:color="FFFFFF"/>
            </w:tcBorders>
          </w:tcPr>
          <w:p>
            <w:pPr>
              <w:spacing w:before="40" w:after="40"/>
            </w:pPr>
            <w:r>
              <w:rPr>
                <w:sz w:val="17"/>
              </w:rPr>
              <w:t>Change Bonus Disabled</w:t>
            </w:r>
          </w:p>
        </w:tc>
        <w:tc>
          <w:tcPr>
            <w:tcW w:type="dxa" w:w="2016"/>
            <w:tcBorders>
              <w:top w:sz="4" w:val="single" w:color="CCCCCC"/>
              <w:left w:sz="2" w:val="none" w:color="FFFFFF"/>
              <w:bottom w:sz="4" w:val="single" w:color="CCCCCC"/>
              <w:right w:sz="2" w:val="none" w:color="FFFFFF"/>
            </w:tcBorders>
          </w:tcPr>
          <w:p>
            <w:pPr>
              <w:spacing w:before="40" w:after="40"/>
            </w:pPr>
            <w:r>
              <w:rPr>
                <w:sz w:val="17"/>
              </w:rPr>
              <w:t>31.98%</w:t>
            </w:r>
          </w:p>
        </w:tc>
        <w:tc>
          <w:tcPr>
            <w:tcW w:type="dxa" w:w="2016"/>
            <w:tcBorders>
              <w:top w:sz="4" w:val="single" w:color="CCCCCC"/>
              <w:left w:sz="2" w:val="none" w:color="FFFFFF"/>
              <w:bottom w:sz="4" w:val="single" w:color="CCCCCC"/>
              <w:right w:sz="2" w:val="none" w:color="FFFFFF"/>
            </w:tcBorders>
          </w:tcPr>
          <w:p>
            <w:pPr>
              <w:spacing w:before="40" w:after="40"/>
            </w:pPr>
            <w:r>
              <w:rPr>
                <w:sz w:val="17"/>
              </w:rPr>
              <w:t>0.2780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r>
    </w:tbl>
    <w:p>
      <w:pPr>
        <w:spacing w:before="160" w:after="40"/>
      </w:pPr>
      <w:r>
        <w:rPr>
          <w:b/>
          <w:i/>
          <w:sz w:val="21"/>
        </w:rPr>
        <w:t>5.4 Robustness and Sensitivity</w:t>
      </w:r>
    </w:p>
    <w:p>
      <w:pPr>
        <w:spacing w:after="100" w:line="276" w:lineRule="auto"/>
        <w:jc w:val="both"/>
      </w:pPr>
      <w:r>
        <w:t>Table 4 tracks performance across heterogeneity settings and drift severities. When Dirichlet concentration drops to alpha = 0.1, all algorithms produce 10.00% accuracy because single-class client partitions block general training. At standard heterogeneity alpha = 0.5, FedQual-CPX beats FedAvg by 1.43%. When fifty percent of clients drift, FedQual-CPX expands its lead to 2.41% (38.16% vs 35.75%).</w:t>
      </w:r>
    </w:p>
    <w:p>
      <w:pPr>
        <w:spacing w:before="160" w:after="60"/>
      </w:pPr>
      <w:r>
        <w:rPr>
          <w:b/>
          <w:sz w:val="19"/>
        </w:rPr>
        <w:t>Table 4. Robustness evaluation across Dirichlet alpha and drift fractions.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Parameter</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Setting</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FedAvg (B0)</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FedQual-CPX (B8)</w:t>
            </w:r>
          </w:p>
        </w:tc>
        <w:tc>
          <w:tcPr>
            <w:tcW w:type="dxa" w:w="2016"/>
            <w:shd w:fill="EBF1F5"/>
            <w:tcBorders>
              <w:top w:sz="4" w:val="single" w:color="CCCCCC"/>
              <w:left w:sz="2" w:val="none" w:color="FFFFFF"/>
              <w:bottom w:sz="4" w:val="single" w:color="CCCCCC"/>
              <w:right w:sz="2" w:val="none" w:color="FFFFFF"/>
            </w:tcBorders>
          </w:tcPr>
          <w:p>
            <w:pPr>
              <w:spacing w:before="40" w:after="40"/>
            </w:pPr>
            <w:r>
              <w:rPr>
                <w:b/>
                <w:sz w:val="17"/>
              </w:rPr>
              <w:t>Lead (Delta)</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Dirichlet alpha</w:t>
            </w:r>
          </w:p>
        </w:tc>
        <w:tc>
          <w:tcPr>
            <w:tcW w:type="dxa" w:w="2016"/>
            <w:tcBorders>
              <w:top w:sz="4" w:val="single" w:color="CCCCCC"/>
              <w:left w:sz="2" w:val="none" w:color="FFFFFF"/>
              <w:bottom w:sz="4" w:val="single" w:color="CCCCCC"/>
              <w:right w:sz="2" w:val="none" w:color="FFFFFF"/>
            </w:tcBorders>
          </w:tcPr>
          <w:p>
            <w:pPr>
              <w:spacing w:before="40" w:after="40"/>
            </w:pPr>
            <w:r>
              <w:rPr>
                <w:sz w:val="17"/>
              </w:rPr>
              <w:t>alpha = 0.1</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c>
          <w:tcPr>
            <w:tcW w:type="dxa" w:w="2016"/>
            <w:tcBorders>
              <w:top w:sz="4" w:val="single" w:color="CCCCCC"/>
              <w:left w:sz="2" w:val="none" w:color="FFFFFF"/>
              <w:bottom w:sz="4" w:val="single" w:color="CCCCCC"/>
              <w:right w:sz="2" w:val="none" w:color="FFFFFF"/>
            </w:tcBorders>
          </w:tcPr>
          <w:p>
            <w:pPr>
              <w:spacing w:before="40" w:after="40"/>
            </w:pPr>
            <w:r>
              <w:rPr>
                <w:sz w:val="17"/>
              </w:rPr>
              <w:t>10.00%</w:t>
            </w:r>
          </w:p>
        </w:tc>
        <w:tc>
          <w:tcPr>
            <w:tcW w:type="dxa" w:w="2016"/>
            <w:tcBorders>
              <w:top w:sz="4" w:val="single" w:color="CCCCCC"/>
              <w:left w:sz="2" w:val="none" w:color="FFFFFF"/>
              <w:bottom w:sz="4" w:val="single" w:color="CCCCCC"/>
              <w:right w:sz="2" w:val="none" w:color="FFFFFF"/>
            </w:tcBorders>
          </w:tcPr>
          <w:p>
            <w:pPr>
              <w:spacing w:before="40" w:after="40"/>
            </w:pPr>
            <w:r>
              <w:rPr>
                <w:sz w:val="17"/>
              </w:rPr>
              <w:t>+0.00%</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r>
          </w:p>
        </w:tc>
        <w:tc>
          <w:tcPr>
            <w:tcW w:type="dxa" w:w="2016"/>
            <w:tcBorders>
              <w:top w:sz="4" w:val="single" w:color="CCCCCC"/>
              <w:left w:sz="2" w:val="none" w:color="FFFFFF"/>
              <w:bottom w:sz="4" w:val="single" w:color="CCCCCC"/>
              <w:right w:sz="2" w:val="none" w:color="FFFFFF"/>
            </w:tcBorders>
          </w:tcPr>
          <w:p>
            <w:pPr>
              <w:spacing w:before="40" w:after="40"/>
            </w:pPr>
            <w:r>
              <w:rPr>
                <w:sz w:val="17"/>
              </w:rPr>
              <w:t>alpha = 0.5</w:t>
            </w:r>
          </w:p>
        </w:tc>
        <w:tc>
          <w:tcPr>
            <w:tcW w:type="dxa" w:w="2016"/>
            <w:tcBorders>
              <w:top w:sz="4" w:val="single" w:color="CCCCCC"/>
              <w:left w:sz="2" w:val="none" w:color="FFFFFF"/>
              <w:bottom w:sz="4" w:val="single" w:color="CCCCCC"/>
              <w:right w:sz="2" w:val="none" w:color="FFFFFF"/>
            </w:tcBorders>
          </w:tcPr>
          <w:p>
            <w:pPr>
              <w:spacing w:before="40" w:after="40"/>
            </w:pPr>
            <w:r>
              <w:rPr>
                <w:sz w:val="17"/>
              </w:rPr>
              <w:t>40.84%</w:t>
            </w:r>
          </w:p>
        </w:tc>
        <w:tc>
          <w:tcPr>
            <w:tcW w:type="dxa" w:w="2016"/>
            <w:tcBorders>
              <w:top w:sz="4" w:val="single" w:color="CCCCCC"/>
              <w:left w:sz="2" w:val="none" w:color="FFFFFF"/>
              <w:bottom w:sz="4" w:val="single" w:color="CCCCCC"/>
              <w:right w:sz="2" w:val="none" w:color="FFFFFF"/>
            </w:tcBorders>
          </w:tcPr>
          <w:p>
            <w:pPr>
              <w:spacing w:before="40" w:after="40"/>
            </w:pPr>
            <w:r>
              <w:rPr>
                <w:sz w:val="17"/>
              </w:rPr>
              <w:t>42.27%</w:t>
            </w:r>
          </w:p>
        </w:tc>
        <w:tc>
          <w:tcPr>
            <w:tcW w:type="dxa" w:w="2016"/>
            <w:tcBorders>
              <w:top w:sz="4" w:val="single" w:color="CCCCCC"/>
              <w:left w:sz="2" w:val="none" w:color="FFFFFF"/>
              <w:bottom w:sz="4" w:val="single" w:color="CCCCCC"/>
              <w:right w:sz="2" w:val="none" w:color="FFFFFF"/>
            </w:tcBorders>
          </w:tcPr>
          <w:p>
            <w:pPr>
              <w:spacing w:before="40" w:after="40"/>
            </w:pPr>
            <w:r>
              <w:rPr>
                <w:sz w:val="17"/>
              </w:rPr>
              <w:t>+1.43%</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r>
          </w:p>
        </w:tc>
        <w:tc>
          <w:tcPr>
            <w:tcW w:type="dxa" w:w="2016"/>
            <w:tcBorders>
              <w:top w:sz="4" w:val="single" w:color="CCCCCC"/>
              <w:left w:sz="2" w:val="none" w:color="FFFFFF"/>
              <w:bottom w:sz="4" w:val="single" w:color="CCCCCC"/>
              <w:right w:sz="2" w:val="none" w:color="FFFFFF"/>
            </w:tcBorders>
          </w:tcPr>
          <w:p>
            <w:pPr>
              <w:spacing w:before="40" w:after="40"/>
            </w:pPr>
            <w:r>
              <w:rPr>
                <w:sz w:val="17"/>
              </w:rPr>
              <w:t>alpha = 1.0</w:t>
            </w:r>
          </w:p>
        </w:tc>
        <w:tc>
          <w:tcPr>
            <w:tcW w:type="dxa" w:w="2016"/>
            <w:tcBorders>
              <w:top w:sz="4" w:val="single" w:color="CCCCCC"/>
              <w:left w:sz="2" w:val="none" w:color="FFFFFF"/>
              <w:bottom w:sz="4" w:val="single" w:color="CCCCCC"/>
              <w:right w:sz="2" w:val="none" w:color="FFFFFF"/>
            </w:tcBorders>
          </w:tcPr>
          <w:p>
            <w:pPr>
              <w:spacing w:before="40" w:after="40"/>
            </w:pPr>
            <w:r>
              <w:rPr>
                <w:sz w:val="17"/>
              </w:rPr>
              <w:t>40.55%</w:t>
            </w:r>
          </w:p>
        </w:tc>
        <w:tc>
          <w:tcPr>
            <w:tcW w:type="dxa" w:w="2016"/>
            <w:tcBorders>
              <w:top w:sz="4" w:val="single" w:color="CCCCCC"/>
              <w:left w:sz="2" w:val="none" w:color="FFFFFF"/>
              <w:bottom w:sz="4" w:val="single" w:color="CCCCCC"/>
              <w:right w:sz="2" w:val="none" w:color="FFFFFF"/>
            </w:tcBorders>
          </w:tcPr>
          <w:p>
            <w:pPr>
              <w:spacing w:before="40" w:after="40"/>
            </w:pPr>
            <w:r>
              <w:rPr>
                <w:sz w:val="17"/>
              </w:rPr>
              <w:t>44.13%</w:t>
            </w:r>
          </w:p>
        </w:tc>
        <w:tc>
          <w:tcPr>
            <w:tcW w:type="dxa" w:w="2016"/>
            <w:tcBorders>
              <w:top w:sz="4" w:val="single" w:color="CCCCCC"/>
              <w:left w:sz="2" w:val="none" w:color="FFFFFF"/>
              <w:bottom w:sz="4" w:val="single" w:color="CCCCCC"/>
              <w:right w:sz="2" w:val="none" w:color="FFFFFF"/>
            </w:tcBorders>
          </w:tcPr>
          <w:p>
            <w:pPr>
              <w:spacing w:before="40" w:after="40"/>
            </w:pPr>
            <w:r>
              <w:rPr>
                <w:sz w:val="17"/>
              </w:rPr>
              <w:t>+3.58%</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t>Drift Fraction</w:t>
            </w:r>
          </w:p>
        </w:tc>
        <w:tc>
          <w:tcPr>
            <w:tcW w:type="dxa" w:w="2016"/>
            <w:tcBorders>
              <w:top w:sz="4" w:val="single" w:color="CCCCCC"/>
              <w:left w:sz="2" w:val="none" w:color="FFFFFF"/>
              <w:bottom w:sz="4" w:val="single" w:color="CCCCCC"/>
              <w:right w:sz="2" w:val="none" w:color="FFFFFF"/>
            </w:tcBorders>
          </w:tcPr>
          <w:p>
            <w:pPr>
              <w:spacing w:before="40" w:after="40"/>
            </w:pPr>
            <w:r>
              <w:rPr>
                <w:sz w:val="17"/>
              </w:rPr>
              <w:t>f = 0.1</w:t>
            </w:r>
          </w:p>
        </w:tc>
        <w:tc>
          <w:tcPr>
            <w:tcW w:type="dxa" w:w="2016"/>
            <w:tcBorders>
              <w:top w:sz="4" w:val="single" w:color="CCCCCC"/>
              <w:left w:sz="2" w:val="none" w:color="FFFFFF"/>
              <w:bottom w:sz="4" w:val="single" w:color="CCCCCC"/>
              <w:right w:sz="2" w:val="none" w:color="FFFFFF"/>
            </w:tcBorders>
          </w:tcPr>
          <w:p>
            <w:pPr>
              <w:spacing w:before="40" w:after="40"/>
            </w:pPr>
            <w:r>
              <w:rPr>
                <w:sz w:val="17"/>
              </w:rPr>
              <w:t>41.25%</w:t>
            </w:r>
          </w:p>
        </w:tc>
        <w:tc>
          <w:tcPr>
            <w:tcW w:type="dxa" w:w="2016"/>
            <w:tcBorders>
              <w:top w:sz="4" w:val="single" w:color="CCCCCC"/>
              <w:left w:sz="2" w:val="none" w:color="FFFFFF"/>
              <w:bottom w:sz="4" w:val="single" w:color="CCCCCC"/>
              <w:right w:sz="2" w:val="none" w:color="FFFFFF"/>
            </w:tcBorders>
          </w:tcPr>
          <w:p>
            <w:pPr>
              <w:spacing w:before="40" w:after="40"/>
            </w:pPr>
            <w:r>
              <w:rPr>
                <w:sz w:val="17"/>
              </w:rPr>
              <w:t>43.14%</w:t>
            </w:r>
          </w:p>
        </w:tc>
        <w:tc>
          <w:tcPr>
            <w:tcW w:type="dxa" w:w="2016"/>
            <w:tcBorders>
              <w:top w:sz="4" w:val="single" w:color="CCCCCC"/>
              <w:left w:sz="2" w:val="none" w:color="FFFFFF"/>
              <w:bottom w:sz="4" w:val="single" w:color="CCCCCC"/>
              <w:right w:sz="2" w:val="none" w:color="FFFFFF"/>
            </w:tcBorders>
          </w:tcPr>
          <w:p>
            <w:pPr>
              <w:spacing w:before="40" w:after="40"/>
            </w:pPr>
            <w:r>
              <w:rPr>
                <w:sz w:val="17"/>
              </w:rPr>
              <w:t>+1.89%</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r>
          </w:p>
        </w:tc>
        <w:tc>
          <w:tcPr>
            <w:tcW w:type="dxa" w:w="2016"/>
            <w:tcBorders>
              <w:top w:sz="4" w:val="single" w:color="CCCCCC"/>
              <w:left w:sz="2" w:val="none" w:color="FFFFFF"/>
              <w:bottom w:sz="4" w:val="single" w:color="CCCCCC"/>
              <w:right w:sz="2" w:val="none" w:color="FFFFFF"/>
            </w:tcBorders>
          </w:tcPr>
          <w:p>
            <w:pPr>
              <w:spacing w:before="40" w:after="40"/>
            </w:pPr>
            <w:r>
              <w:rPr>
                <w:sz w:val="17"/>
              </w:rPr>
              <w:t>f = 0.3</w:t>
            </w:r>
          </w:p>
        </w:tc>
        <w:tc>
          <w:tcPr>
            <w:tcW w:type="dxa" w:w="2016"/>
            <w:tcBorders>
              <w:top w:sz="4" w:val="single" w:color="CCCCCC"/>
              <w:left w:sz="2" w:val="none" w:color="FFFFFF"/>
              <w:bottom w:sz="4" w:val="single" w:color="CCCCCC"/>
              <w:right w:sz="2" w:val="none" w:color="FFFFFF"/>
            </w:tcBorders>
          </w:tcPr>
          <w:p>
            <w:pPr>
              <w:spacing w:before="40" w:after="40"/>
            </w:pPr>
            <w:r>
              <w:rPr>
                <w:sz w:val="17"/>
              </w:rPr>
              <w:t>40.84%</w:t>
            </w:r>
          </w:p>
        </w:tc>
        <w:tc>
          <w:tcPr>
            <w:tcW w:type="dxa" w:w="2016"/>
            <w:tcBorders>
              <w:top w:sz="4" w:val="single" w:color="CCCCCC"/>
              <w:left w:sz="2" w:val="none" w:color="FFFFFF"/>
              <w:bottom w:sz="4" w:val="single" w:color="CCCCCC"/>
              <w:right w:sz="2" w:val="none" w:color="FFFFFF"/>
            </w:tcBorders>
          </w:tcPr>
          <w:p>
            <w:pPr>
              <w:spacing w:before="40" w:after="40"/>
            </w:pPr>
            <w:r>
              <w:rPr>
                <w:sz w:val="17"/>
              </w:rPr>
              <w:t>42.27%</w:t>
            </w:r>
          </w:p>
        </w:tc>
        <w:tc>
          <w:tcPr>
            <w:tcW w:type="dxa" w:w="2016"/>
            <w:tcBorders>
              <w:top w:sz="4" w:val="single" w:color="CCCCCC"/>
              <w:left w:sz="2" w:val="none" w:color="FFFFFF"/>
              <w:bottom w:sz="4" w:val="single" w:color="CCCCCC"/>
              <w:right w:sz="2" w:val="none" w:color="FFFFFF"/>
            </w:tcBorders>
          </w:tcPr>
          <w:p>
            <w:pPr>
              <w:spacing w:before="40" w:after="40"/>
            </w:pPr>
            <w:r>
              <w:rPr>
                <w:sz w:val="17"/>
              </w:rPr>
              <w:t>+1.43%</w:t>
            </w:r>
          </w:p>
        </w:tc>
      </w:tr>
      <w:tr>
        <w:tc>
          <w:tcPr>
            <w:tcW w:type="dxa" w:w="2016"/>
            <w:tcBorders>
              <w:top w:sz="4" w:val="single" w:color="CCCCCC"/>
              <w:left w:sz="2" w:val="none" w:color="FFFFFF"/>
              <w:bottom w:sz="4" w:val="single" w:color="CCCCCC"/>
              <w:right w:sz="2" w:val="none" w:color="FFFFFF"/>
            </w:tcBorders>
          </w:tcPr>
          <w:p>
            <w:pPr>
              <w:spacing w:before="40" w:after="40"/>
            </w:pPr>
            <w:r>
              <w:rPr>
                <w:sz w:val="17"/>
              </w:rPr>
            </w:r>
          </w:p>
        </w:tc>
        <w:tc>
          <w:tcPr>
            <w:tcW w:type="dxa" w:w="2016"/>
            <w:tcBorders>
              <w:top w:sz="4" w:val="single" w:color="CCCCCC"/>
              <w:left w:sz="2" w:val="none" w:color="FFFFFF"/>
              <w:bottom w:sz="4" w:val="single" w:color="CCCCCC"/>
              <w:right w:sz="2" w:val="none" w:color="FFFFFF"/>
            </w:tcBorders>
          </w:tcPr>
          <w:p>
            <w:pPr>
              <w:spacing w:before="40" w:after="40"/>
            </w:pPr>
            <w:r>
              <w:rPr>
                <w:sz w:val="17"/>
              </w:rPr>
              <w:t>f = 0.5</w:t>
            </w:r>
          </w:p>
        </w:tc>
        <w:tc>
          <w:tcPr>
            <w:tcW w:type="dxa" w:w="2016"/>
            <w:tcBorders>
              <w:top w:sz="4" w:val="single" w:color="CCCCCC"/>
              <w:left w:sz="2" w:val="none" w:color="FFFFFF"/>
              <w:bottom w:sz="4" w:val="single" w:color="CCCCCC"/>
              <w:right w:sz="2" w:val="none" w:color="FFFFFF"/>
            </w:tcBorders>
          </w:tcPr>
          <w:p>
            <w:pPr>
              <w:spacing w:before="40" w:after="40"/>
            </w:pPr>
            <w:r>
              <w:rPr>
                <w:sz w:val="17"/>
              </w:rPr>
              <w:t>35.75%</w:t>
            </w:r>
          </w:p>
        </w:tc>
        <w:tc>
          <w:tcPr>
            <w:tcW w:type="dxa" w:w="2016"/>
            <w:tcBorders>
              <w:top w:sz="4" w:val="single" w:color="CCCCCC"/>
              <w:left w:sz="2" w:val="none" w:color="FFFFFF"/>
              <w:bottom w:sz="4" w:val="single" w:color="CCCCCC"/>
              <w:right w:sz="2" w:val="none" w:color="FFFFFF"/>
            </w:tcBorders>
          </w:tcPr>
          <w:p>
            <w:pPr>
              <w:spacing w:before="40" w:after="40"/>
            </w:pPr>
            <w:r>
              <w:rPr>
                <w:sz w:val="17"/>
              </w:rPr>
              <w:t>38.16%</w:t>
            </w:r>
          </w:p>
        </w:tc>
        <w:tc>
          <w:tcPr>
            <w:tcW w:type="dxa" w:w="2016"/>
            <w:tcBorders>
              <w:top w:sz="4" w:val="single" w:color="CCCCCC"/>
              <w:left w:sz="2" w:val="none" w:color="FFFFFF"/>
              <w:bottom w:sz="4" w:val="single" w:color="CCCCCC"/>
              <w:right w:sz="2" w:val="none" w:color="FFFFFF"/>
            </w:tcBorders>
          </w:tcPr>
          <w:p>
            <w:pPr>
              <w:spacing w:before="40" w:after="40"/>
            </w:pPr>
            <w:r>
              <w:rPr>
                <w:sz w:val="17"/>
              </w:rPr>
              <w:t>+2.41%</w:t>
            </w:r>
          </w:p>
        </w:tc>
      </w:tr>
    </w:tbl>
    <w:p>
      <w:pPr>
        <w:spacing w:before="240" w:after="80"/>
      </w:pPr>
      <w:r>
        <w:rPr>
          <w:b/>
          <w:sz w:val="22"/>
        </w:rPr>
        <w:t>6. Limitations and Future Work</w:t>
      </w:r>
    </w:p>
    <w:p>
      <w:pPr>
        <w:spacing w:after="100" w:line="276" w:lineRule="auto"/>
        <w:jc w:val="both"/>
      </w:pPr>
      <w:r>
        <w:t>This work carries clear limitations. Under pathological label segregation (alpha = 0.1), no selection policy overcomes the absence of common class overlap. Client participation stays non-inferior to random selection, but local training signals lack cross-entropy compatibility. Second, communication overhead includes tracking scalar utility numbers, though this is negligible compared to model parameters. Future research will explore multi-modal sensor fusion and privacy-preserving zero-knowledge proof of utility.</w:t>
      </w:r>
    </w:p>
    <w:p>
      <w:pPr>
        <w:spacing w:before="240" w:after="80"/>
      </w:pPr>
      <w:r>
        <w:rPr>
          <w:b/>
          <w:sz w:val="22"/>
        </w:rPr>
        <w:t>7. Conclusion</w:t>
      </w:r>
    </w:p>
    <w:p>
      <w:pPr>
        <w:spacing w:after="100" w:line="276" w:lineRule="auto"/>
        <w:jc w:val="both"/>
      </w:pPr>
      <w:r>
        <w:t>Concept drift creates severe challenges for federated client selection under partial observability. Greedy algorithms starve edge clients, while static random exploration wastes bandwidth. This paper presented FedQual-CPX, combining causal median absolute deviation normalization, sequential cumulative sum tests, and dynamic exploration control. Empirical results across CIFAR-10, FEMNIST, and Shakespeare prove that FedQual-CPX achieves full client coverage, reduces participation inequality by over fifty percent, and preserves model recovery across diverse drift settings.</w:t>
      </w:r>
    </w:p>
    <w:p>
      <w:pPr>
        <w:spacing w:before="240" w:after="80"/>
      </w:pPr>
      <w:r>
        <w:rPr>
          <w:b/>
          <w:sz w:val="22"/>
        </w:rPr>
        <w:t>References</w:t>
      </w:r>
    </w:p>
    <w:p>
      <w:pPr>
        <w:spacing w:after="60"/>
        <w:ind w:left="360" w:hanging="360"/>
      </w:pPr>
      <w:r>
        <w:t>[1] B. McMahan, E. Moore, D. Ramage, S. Hampson, and B. A. y Arcas, "Communication-efficient learning of deep networks from decentralized data," in Proc. AISTATS, 2017, pp. 1273-1282.</w:t>
      </w:r>
    </w:p>
    <w:p>
      <w:pPr>
        <w:spacing w:after="60"/>
        <w:ind w:left="360" w:hanging="360"/>
      </w:pPr>
      <w:r>
        <w:t>[2] F. Lai, X. Dai, S. Singapuram, J. Liu, X. Zhu, H. V. Madhyastha, and M. Chow, "Oort: Efficient federated learning via guided participant sampling," in Proc. USENIX OSDI, 2021, pp. 59-77.</w:t>
      </w:r>
    </w:p>
    <w:p>
      <w:pPr>
        <w:spacing w:after="60"/>
        <w:ind w:left="360" w:hanging="360"/>
      </w:pPr>
      <w:r>
        <w:t>[3] T. Li, A. K. Sahu, M. Zaheer, M. Sanjabi, A. Talwalkar, and V. Smith, "Federated optimization in heterogeneous networks," Proc. MLSys, vol. 2, pp. 429-450, 2020.</w:t>
      </w:r>
    </w:p>
    <w:p>
      <w:pPr>
        <w:spacing w:after="60"/>
        <w:ind w:left="360" w:hanging="360"/>
      </w:pPr>
      <w:r>
        <w:t>[4] E. S. Page, "Continuous inspection schemes," Biometrika, vol. 41, no. 1/2, pp. 100-115, 1954.</w:t>
      </w:r>
    </w:p>
    <w:p>
      <w:pPr>
        <w:spacing w:after="60"/>
        <w:ind w:left="360" w:hanging="360"/>
      </w:pPr>
      <w:r>
        <w:t>[5] S. Caldas, S. M. K. Duddu, P. Wu, T. Li, J. Konečný, H. B. McMahan, V. Smith, and A. Talwalkar, "LEAF: A benchmark for federated settings," arXiv:1812.01097, 2018.</w:t>
      </w:r>
    </w:p>
    <w:p>
      <w:pPr>
        <w:spacing w:after="60"/>
        <w:ind w:left="360" w:hanging="360"/>
      </w:pPr>
      <w:r>
        <w:t>[6] P. J. Huber, Robust Statistics. New York, NY: John Wiley &amp; Sons, 1981.</w:t>
      </w:r>
    </w:p>
    <w:p>
      <w:pPr>
        <w:spacing w:after="60"/>
        <w:ind w:left="360" w:hanging="360"/>
      </w:pPr>
      <w:r>
        <w:t>[7] M. Basseville and I. V. Nikiforov, Detection of Abrupt Changes: Theory and Application. Englewood Cliffs, NJ: Prentice-Hall, 1993.</w:t>
      </w:r>
    </w:p>
    <w:p>
      <w:pPr>
        <w:spacing w:after="60"/>
        <w:ind w:left="360" w:hanging="360"/>
      </w:pPr>
      <w:r>
        <w:t>[8] P. Kairouz, H. B. McMahan, B. Avent, A. Bellet, M. Bennis, A. N. Bhagoji, et al., "Advances and open problems in federated learning," Found. Trends Mach. Learn., vol. 14, no. 1-2, pp. 1-210, 2021.</w:t>
      </w:r>
    </w:p>
    <w:p>
      <w:pPr>
        <w:spacing w:after="60"/>
        <w:ind w:left="360" w:hanging="360"/>
      </w:pPr>
      <w:r>
        <w:t>[9] C. Gini, "Variabilità e mutabilità," Reprinted in Memorie di metodologica statistica, 1912.</w:t>
      </w:r>
    </w:p>
    <w:p>
      <w:pPr>
        <w:spacing w:after="60"/>
        <w:ind w:left="360" w:hanging="360"/>
      </w:pPr>
      <w:r>
        <w:t>[10] Anonymous, "FedQual-CPX source code and reproducibility benchmark," GitHub Repository, 2026. [Online]. Available: https://github.com/Talhaasif7/FedQual-CPX</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