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Times New Roman" w:hAnsi="Times New Roman"/>
          <w:b/>
          <w:color w:val="142850"/>
          <w:sz w:val="36"/>
        </w:rPr>
        <w:t>The Partial Observability Barrier in Dynamic Federated Client Selection</w:t>
      </w:r>
    </w:p>
    <w:p>
      <w:pPr>
        <w:spacing w:before="0" w:after="240"/>
        <w:jc w:val="center"/>
      </w:pPr>
      <w:r>
        <w:rPr>
          <w:rFonts w:ascii="Times New Roman" w:hAnsi="Times New Roman"/>
          <w:i/>
          <w:color w:val="505050"/>
          <w:sz w:val="20"/>
        </w:rPr>
        <w:t>Anonymous Authors</w:t>
        <w:br/>
        <w:t>Paper Under Double-Blind Review for ICACS</w:t>
      </w:r>
    </w:p>
    <w:p>
      <w:pPr>
        <w:spacing w:before="80" w:after="160"/>
        <w:ind w:left="432" w:right="432"/>
        <w:jc w:val="both"/>
      </w:pPr>
      <w:r>
        <w:rPr>
          <w:b/>
          <w:sz w:val="18"/>
        </w:rPr>
        <w:t xml:space="preserve">Abstract: </w:t>
      </w:r>
      <w:r>
        <w:rPr>
          <w:sz w:val="18"/>
        </w:rPr>
        <w:t>Edge devices in federated networks don't keep stationary data streams during practical deployments. They encounter abrupt concept shifts, sensor degradation, and local label replacement. Because communication bandwidth is limited, a central server can't communicate with every client in every cycle. When a client isn't selected, the server doesn't observe its state or local loss improvement. Prior studies suggest that sequential change detectors can track client utility streams and steer exploration toward drifted devices. This paper presents a diagnostic study of this assumption, showing that it encounters a fundamental partial observability barrier. Under realistic sampling rates where the server inspects only a small fraction of clients, sequential detection delay inflates by the inverse sampling ratio. The detector can't collect multiple sequential observations from the same device quickly enough to verify distribution changes before training concludes. Across multi-seed evaluations on CIFAR-10 and EMNIST-ByClass (62-class), uniform random selection consistently outperforms change-aware selection on post-drift model recovery. Furthermore, greedy utility policies collapse into client starvation, leaving up to ninety percent of clients unselected. This study explains why sequential change-point selection fails in partially observed federated systems and establishes the critical participation threshold needed for change awareness to yield positive gains.</w:t>
      </w:r>
    </w:p>
    <w:p>
      <w:pPr>
        <w:spacing w:after="240"/>
        <w:ind w:left="432" w:right="432"/>
        <w:jc w:val="both"/>
      </w:pPr>
      <w:r>
        <w:rPr>
          <w:b/>
          <w:sz w:val="18"/>
        </w:rPr>
        <w:t xml:space="preserve">Keywords: </w:t>
      </w:r>
      <w:r>
        <w:rPr>
          <w:sz w:val="18"/>
        </w:rPr>
        <w:t>Federated learning, concept drift, client selection, change point detection, partial observability, participation inequality.</w:t>
      </w:r>
    </w:p>
    <w:p>
      <w:pPr>
        <w:keepNext/>
        <w:spacing w:before="240" w:after="80"/>
      </w:pPr>
      <w:r>
        <w:rPr>
          <w:rFonts w:ascii="Times New Roman" w:hAnsi="Times New Roman"/>
          <w:b/>
          <w:color w:val="14325A"/>
          <w:sz w:val="24"/>
        </w:rPr>
        <w:t>1. Introduction</w:t>
      </w:r>
    </w:p>
    <w:p>
      <w:pPr>
        <w:spacing w:before="0" w:after="80" w:line="276" w:lineRule="auto"/>
        <w:jc w:val="both"/>
      </w:pPr>
      <w:r>
        <w:rPr>
          <w:rFonts w:ascii="Times New Roman" w:hAnsi="Times New Roman"/>
          <w:b w:val="0"/>
          <w:i w:val="0"/>
        </w:rPr>
        <w:t>Federated optimization enables edge clients to train a shared predictive model without transferring raw observations to a central server. McMahan et al. [1] show that local stochastic updates aggregated via coordinate averaging construct accurate global networks. In real mobile environments, client distributions don't remain stationary. Sensor quality drops over time, environmental lighting alters camera inputs, and user habits shift seasonally. These dynamics cause local concept drift across participating edge nodes.</w:t>
      </w:r>
    </w:p>
    <w:p>
      <w:pPr>
        <w:spacing w:before="0" w:after="80" w:line="276" w:lineRule="auto"/>
        <w:jc w:val="both"/>
      </w:pPr>
      <w:r>
        <w:rPr>
          <w:rFonts w:ascii="Times New Roman" w:hAnsi="Times New Roman"/>
          <w:b w:val="0"/>
          <w:i w:val="0"/>
        </w:rPr>
        <w:t>Handling concept drift in federated networks isn't straightforward because the coordinator operates under partial observability. Bandwidth boundaries prevent the central hub from contacting every device in each round. The system can't observe clients that aren't picked for the active batch. When a client isn't chosen, its local dataset gain stays entirely unseen. Missing observations aren't equivalent to zero utility. They represent unobserved latent quantities.</w:t>
      </w:r>
    </w:p>
    <w:p>
      <w:pPr>
        <w:spacing w:before="0" w:after="80" w:line="276" w:lineRule="auto"/>
        <w:jc w:val="both"/>
      </w:pPr>
      <w:r>
        <w:rPr>
          <w:rFonts w:ascii="Times New Roman" w:hAnsi="Times New Roman"/>
          <w:b w:val="0"/>
          <w:i w:val="0"/>
        </w:rPr>
        <w:t>Recent proposals argue that the server can monitor sequential client utility signals to identify temporal drift. Works like FLEX [5] suggest applying sequential change detectors to spot distribution shifts and trigger adaptive exploration. This paper conducts a rigorous empirical investigation of that proposition. The findings show that this intuitive idea encounters a structural barrier. Under standard edge participation rates, sequential change detection doesn't accelerate model recovery. In fact, uniform random selection consistently achieves superior post-drift accuracy.</w:t>
      </w:r>
    </w:p>
    <w:p>
      <w:pPr>
        <w:spacing w:before="0" w:after="80" w:line="276" w:lineRule="auto"/>
        <w:jc w:val="both"/>
      </w:pPr>
      <w:r>
        <w:rPr>
          <w:rFonts w:ascii="Times New Roman" w:hAnsi="Times New Roman"/>
          <w:b w:val="0"/>
          <w:i w:val="0"/>
        </w:rPr>
        <w:t>The cause of this failure traces to observation throttling. A sequential detector requires multiple sequential observations from the same device to distinguish genuine concept drift from gradient stochasticity. When only ten out of a hundred edge devices participate per round, each client appears once every ten communication rounds on average. An observation delay of five steps inflates to fifty communication rounds. When drift takes place halfway through training, the detector won't gather enough data points to trigger before training finishes.</w:t>
      </w:r>
    </w:p>
    <w:p>
      <w:pPr>
        <w:spacing w:before="0" w:after="80" w:line="276" w:lineRule="auto"/>
        <w:jc w:val="both"/>
      </w:pPr>
      <w:r>
        <w:rPr>
          <w:rFonts w:ascii="Times New Roman" w:hAnsi="Times New Roman"/>
          <w:b w:val="0"/>
          <w:i w:val="0"/>
        </w:rPr>
        <w:t>Greedy client selection schemes aggravate this problem. Lai et al. [2] show that picking devices with high statistical utility speeds up initial convergence in stationary environments. Yet under concept drift, greedy selection locks the server into a small group of previously strong devices. Stale devices aren't checked, and drifted nodes can't demonstrate their updated loss gradients. This behavior produces severe participation inequality. Most clients remain entirely starved throughout training.</w:t>
      </w:r>
    </w:p>
    <w:p>
      <w:pPr>
        <w:spacing w:before="0" w:after="80" w:line="276" w:lineRule="auto"/>
        <w:jc w:val="both"/>
      </w:pPr>
      <w:r>
        <w:rPr>
          <w:rFonts w:ascii="Times New Roman" w:hAnsi="Times New Roman"/>
          <w:b w:val="0"/>
          <w:i w:val="0"/>
        </w:rPr>
        <w:t>This paper provides four main contributions:</w:t>
        <w:br/>
        <w:t>1. It proves the Delay Inflation Theorem under uniform participant sampling (p = K/N), showing that intrinsic observation delay inflates by the inverse sampling ratio N/K, and explains why heuristic exploration cannot circumvent this renewal lower bound under edge participation limits (rho &lt;= 0.10).</w:t>
        <w:br/>
        <w:t>2. It presents an empirical diagnostic benchmark across CIFAR-10 and EMNIST-ByClass, establishing that uniform random selection consistently outperforms change-aware selection on post-drift recovery, while greedy utility policies collapse into client starvation (G approx 0.90).</w:t>
        <w:br/>
        <w:t>3. It proves the Cross-Sectional Normalization Trap (Proposition 2), demonstrating mathematically and on controlled synthetic tests that contemporaneous robust MAD scaling erases common-mode drift across edge clients.</w:t>
        <w:br/>
        <w:t>4. It derives the participation feasibility threshold rho* approx 0.36 required for sequential detectors to observe shifts within finite communication budgets, and empirically evaluates the participation spectrum across rho in {0.05, 0.10, 0.25, 0.36, 0.50}.</w:t>
      </w:r>
    </w:p>
    <w:p>
      <w:pPr>
        <w:spacing w:before="120" w:after="40"/>
        <w:jc w:val="center"/>
      </w:pPr>
      <w:r>
        <w:drawing>
          <wp:inline xmlns:a="http://schemas.openxmlformats.org/drawingml/2006/main" xmlns:pic="http://schemas.openxmlformats.org/drawingml/2006/picture">
            <wp:extent cx="5029200" cy="3098800"/>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9"/>
                    <a:stretch>
                      <a:fillRect/>
                    </a:stretch>
                  </pic:blipFill>
                  <pic:spPr>
                    <a:xfrm>
                      <a:off x="0" y="0"/>
                      <a:ext cx="5029200" cy="3098800"/>
                    </a:xfrm>
                    <a:prstGeom prst="rect"/>
                  </pic:spPr>
                </pic:pic>
              </a:graphicData>
            </a:graphic>
          </wp:inline>
        </w:drawing>
      </w:r>
    </w:p>
    <w:p>
      <w:pPr>
        <w:keepNext/>
        <w:spacing w:before="40" w:after="160"/>
        <w:jc w:val="center"/>
      </w:pPr>
      <w:r>
        <w:rPr>
          <w:rFonts w:ascii="Times New Roman" w:hAnsi="Times New Roman"/>
          <w:i/>
          <w:color w:val="464646"/>
          <w:sz w:val="17"/>
        </w:rPr>
        <w:t>Figure 1: System architecture of the adaptive federated client selection framework.</w:t>
      </w:r>
    </w:p>
    <w:p>
      <w:pPr>
        <w:keepNext/>
        <w:spacing w:before="240" w:after="80"/>
      </w:pPr>
      <w:r>
        <w:rPr>
          <w:rFonts w:ascii="Times New Roman" w:hAnsi="Times New Roman"/>
          <w:b/>
          <w:color w:val="14325A"/>
          <w:sz w:val="24"/>
        </w:rPr>
        <w:t>2. Related Work</w:t>
      </w:r>
    </w:p>
    <w:p>
      <w:pPr>
        <w:spacing w:before="0" w:after="80" w:line="276" w:lineRule="auto"/>
        <w:jc w:val="both"/>
      </w:pPr>
      <w:r>
        <w:rPr>
          <w:rFonts w:ascii="Times New Roman" w:hAnsi="Times New Roman"/>
          <w:b w:val="0"/>
          <w:i w:val="0"/>
        </w:rPr>
        <w:t>Client selection has received wide attention in distributed optimization. McMahan et al. [1] introduce federated averaging using uniform random participant sampling. Random sampling gives every device an equal selection probability, but it doesn't prioritize informative local updates. Nishio and Yonetani [4] incorporate client compute and communication capabilities to prune stragglers. Lai et al. [2] formulate the Oort framework, selecting clients based on statistical utility and an Upper Confidence Bound (UCB) exploration bonus. While Oort speeds up convergence under stationary data, it doesn't account for temporal shifts. It locks onto early high-utility devices and starves the remaining network.</w:t>
      </w:r>
    </w:p>
    <w:p>
      <w:pPr>
        <w:spacing w:before="0" w:after="80" w:line="276" w:lineRule="auto"/>
        <w:jc w:val="both"/>
      </w:pPr>
      <w:r>
        <w:rPr>
          <w:rFonts w:ascii="Times New Roman" w:hAnsi="Times New Roman"/>
          <w:b w:val="0"/>
          <w:i w:val="0"/>
        </w:rPr>
        <w:t>Concept drift in edge networks poses distinct challenges. Lu et al. [5] and Gama et al. [6] categorize drift into abrupt, gradual, and incremental types. In centralized data streaming, drift detectors monitor loss streams directly. In federated networks, central servers can't inspect client data streams due to privacy rules and partial sampling. Recent efforts attempt to manage drift by clustering clients or restarting models. Model restarts disrupt ongoing optimization, and client clustering doesn't scale when individual device behaviors drift independently.</w:t>
      </w:r>
    </w:p>
    <w:p>
      <w:pPr>
        <w:spacing w:before="0" w:after="80" w:line="276" w:lineRule="auto"/>
        <w:jc w:val="both"/>
      </w:pPr>
      <w:r>
        <w:rPr>
          <w:rFonts w:ascii="Times New Roman" w:hAnsi="Times New Roman"/>
          <w:b w:val="0"/>
          <w:i w:val="0"/>
        </w:rPr>
        <w:t>Sequential change-point analysis traces back to continuous quality inspection schemes. Page [7] introduces the cumulative sum test to detect mean shifts in sequential observations. Basseville and Nikiforov [8] formalize two-sided detection for bounded false-alarm rates. While sequential detectors are common in industrial signal monitoring, their application to federated client selection remains rare. In this study, Page-Hinckley serves as a detector-substituted comparison within the FedQual scaffold to isolate the effect of detector algorithm choice from observation throttling. Existing federated drift handlers either use fixed exploration rates or rely on uncalibrated loss differences. This paper investigates whether sequential cumulative sum tracking can guide client exploration under realistic participation limits.</w:t>
      </w:r>
    </w:p>
    <w:p>
      <w:pPr>
        <w:spacing w:before="120" w:after="40"/>
        <w:jc w:val="center"/>
      </w:pPr>
      <w:r>
        <w:drawing>
          <wp:inline xmlns:a="http://schemas.openxmlformats.org/drawingml/2006/main" xmlns:pic="http://schemas.openxmlformats.org/drawingml/2006/picture">
            <wp:extent cx="5029200" cy="2743200"/>
            <wp:docPr id="2" name="Picture 2"/>
            <wp:cNvGraphicFramePr>
              <a:graphicFrameLocks noChangeAspect="1"/>
            </wp:cNvGraphicFramePr>
            <a:graphic>
              <a:graphicData uri="http://schemas.openxmlformats.org/drawingml/2006/picture">
                <pic:pic>
                  <pic:nvPicPr>
                    <pic:cNvPr id="0" name="detection_and_adaptation_flow.png"/>
                    <pic:cNvPicPr/>
                  </pic:nvPicPr>
                  <pic:blipFill>
                    <a:blip r:embed="rId10"/>
                    <a:stretch>
                      <a:fillRect/>
                    </a:stretch>
                  </pic:blipFill>
                  <pic:spPr>
                    <a:xfrm>
                      <a:off x="0" y="0"/>
                      <a:ext cx="5029200" cy="2743200"/>
                    </a:xfrm>
                    <a:prstGeom prst="rect"/>
                  </pic:spPr>
                </pic:pic>
              </a:graphicData>
            </a:graphic>
          </wp:inline>
        </w:drawing>
      </w:r>
    </w:p>
    <w:p>
      <w:pPr>
        <w:keepNext/>
        <w:spacing w:before="40" w:after="160"/>
        <w:jc w:val="center"/>
      </w:pPr>
      <w:r>
        <w:rPr>
          <w:rFonts w:ascii="Times New Roman" w:hAnsi="Times New Roman"/>
          <w:i/>
          <w:color w:val="464646"/>
          <w:sz w:val="17"/>
        </w:rPr>
        <w:t>Figure 2: Sequential change detection and adaptive exploration decision flow.</w:t>
      </w:r>
    </w:p>
    <w:p>
      <w:pPr>
        <w:keepNext/>
        <w:spacing w:before="240" w:after="80"/>
      </w:pPr>
      <w:r>
        <w:rPr>
          <w:rFonts w:ascii="Times New Roman" w:hAnsi="Times New Roman"/>
          <w:b/>
          <w:color w:val="14325A"/>
          <w:sz w:val="24"/>
        </w:rPr>
        <w:t>3. System Model and Problem Formulation</w:t>
      </w:r>
    </w:p>
    <w:p>
      <w:pPr>
        <w:spacing w:before="0" w:after="80" w:line="276" w:lineRule="auto"/>
        <w:jc w:val="both"/>
      </w:pPr>
      <w:r>
        <w:rPr>
          <w:rFonts w:ascii="Times New Roman" w:hAnsi="Times New Roman"/>
          <w:b w:val="0"/>
          <w:i w:val="0"/>
        </w:rPr>
        <w:t>A federated system coordinates training across N edge devices indexed by i in {1, ..., N}. Each device holds a local dataset that changes across communication rounds t in {1, ..., T}. In round t, the server selects a cohort containing K clients, where K is much smaller than N.</w:t>
      </w:r>
    </w:p>
    <w:p>
      <w:pPr>
        <w:spacing w:before="0" w:after="80" w:line="276" w:lineRule="auto"/>
        <w:jc w:val="both"/>
      </w:pPr>
      <w:r>
        <w:rPr>
          <w:rFonts w:ascii="Times New Roman" w:hAnsi="Times New Roman"/>
          <w:b w:val="0"/>
          <w:i w:val="0"/>
        </w:rPr>
        <w:t>Selected clients download global model weights, run local stochastic gradient descent for E epochs, and upload local parameters. Following the formulation in McMahan et al. [1], the server aggregates parameter updates through sample-weighted averaging. Raw gradient norms don't reveal whether local training actually helped the global objective. This paper defines client utility as the empirical loss gain achieved locally divided by client communication cost.</w:t>
      </w:r>
    </w:p>
    <w:p>
      <w:pPr>
        <w:spacing w:before="0" w:after="80" w:line="276" w:lineRule="auto"/>
        <w:jc w:val="both"/>
      </w:pPr>
      <w:r>
        <w:rPr>
          <w:rFonts w:ascii="Times New Roman" w:hAnsi="Times New Roman"/>
          <w:b w:val="0"/>
          <w:i w:val="0"/>
        </w:rPr>
        <w:t>When client i is not selected, its utility isn't observed. The server doesn't set missing values to zero because doing so mimics severe model degradation. Instead, the server maintains an explicit observation mask and tracks staleness counters. A missing observation simply means information is absent until that client is selected again.</w:t>
      </w:r>
    </w:p>
    <w:p>
      <w:pPr>
        <w:keepNext/>
        <w:spacing w:before="240" w:after="80"/>
      </w:pPr>
      <w:r>
        <w:rPr>
          <w:rFonts w:ascii="Times New Roman" w:hAnsi="Times New Roman"/>
          <w:b/>
          <w:color w:val="14325A"/>
          <w:sz w:val="24"/>
        </w:rPr>
        <w:t>4. The Partial Observability Barrier</w:t>
      </w:r>
    </w:p>
    <w:p>
      <w:pPr>
        <w:spacing w:before="0" w:after="80" w:line="276" w:lineRule="auto"/>
        <w:jc w:val="both"/>
      </w:pPr>
      <w:r>
        <w:rPr>
          <w:rFonts w:ascii="Times New Roman" w:hAnsi="Times New Roman"/>
          <w:b w:val="0"/>
          <w:i w:val="0"/>
        </w:rPr>
        <w:t>This section analyzes the theoretical mechanics governing sequential change-point detection under client sampling constraints.</w:t>
      </w:r>
    </w:p>
    <w:p>
      <w:pPr>
        <w:keepNext/>
        <w:spacing w:before="160" w:after="60"/>
      </w:pPr>
      <w:r>
        <w:rPr>
          <w:rFonts w:ascii="Times New Roman" w:hAnsi="Times New Roman"/>
          <w:b/>
          <w:i/>
          <w:color w:val="282828"/>
          <w:sz w:val="21"/>
        </w:rPr>
        <w:t>4.1 The Delay Inflation Theorem</w:t>
      </w:r>
    </w:p>
    <w:p>
      <w:pPr>
        <w:spacing w:before="0" w:after="80" w:line="276" w:lineRule="auto"/>
        <w:jc w:val="both"/>
      </w:pPr>
      <w:r>
        <w:rPr>
          <w:rFonts w:ascii="Times New Roman" w:hAnsi="Times New Roman"/>
          <w:b w:val="0"/>
          <w:i w:val="0"/>
        </w:rPr>
        <w:t>Consider an edge client that undergoes a local distribution change at communication round tau. Under continuous full observation, the sequential detector inspects client updates at every round. Let tau_obs denote the intrinsic detection delay measured in the number of observed samples. In a partially observed federated network, a client isn't observed at every communication round.</w:t>
      </w:r>
    </w:p>
    <w:p>
      <w:pPr>
        <w:spacing w:before="0" w:after="80" w:line="276" w:lineRule="auto"/>
        <w:jc w:val="both"/>
      </w:pPr>
      <w:r>
        <w:rPr>
          <w:rFonts w:ascii="Times New Roman" w:hAnsi="Times New Roman"/>
          <w:b w:val="0"/>
          <w:i w:val="0"/>
        </w:rPr>
        <w:t>Theorem 1 (Delay Inflation Bound): Under uniform participant sampling where each client is selected independently with probability p = K/N, the expected communication round of detection satisfies: E[T_detect - tau] &gt;= (N / K) * E[tau_obs].</w:t>
      </w:r>
    </w:p>
    <w:p>
      <w:pPr>
        <w:spacing w:before="0" w:after="80" w:line="276" w:lineRule="auto"/>
        <w:jc w:val="both"/>
      </w:pPr>
      <w:r>
        <w:rPr>
          <w:rFonts w:ascii="Times New Roman" w:hAnsi="Times New Roman"/>
          <w:b w:val="0"/>
          <w:i w:val="0"/>
        </w:rPr>
        <w:t>Proof Sketch: The arrival of client observation opportunities follows a renewal process with geometric inter-arrival intervals. By Wald's identity for stopped sums of independent random variables, the expected wall-clock round required to accumulate tau_obs observations equals (1 / p) * E[tau_obs] = (N / K) * E[tau_obs]. Because client sampling without replacement introduces non-negative covariance across unselected devices, this bound serves as a strict lower bound.</w:t>
      </w:r>
    </w:p>
    <w:p>
      <w:pPr>
        <w:spacing w:before="0" w:after="80" w:line="276" w:lineRule="auto"/>
        <w:jc w:val="both"/>
      </w:pPr>
      <w:r>
        <w:rPr>
          <w:rFonts w:ascii="Times New Roman" w:hAnsi="Times New Roman"/>
          <w:b w:val="0"/>
          <w:i w:val="0"/>
        </w:rPr>
        <w:t>Theorem 1 establishes the fundamental renewal lower bound under uniform random participant sampling (p = K/N). While adaptive exploration policies alter client selection probabilities dynamically, they cannot easily escape this constraint. Before a drifted client is selected, its local distribution change remains unseen by the server. An unobserved client cannot receive a change-detection priority boost prior to its first post-drift observation. Consequently, the round required to initiate sequential monitoring remains lower-bounded by the background exploration rate, which is at most K/N under edge bandwidth limits. Heuristic policies that concentrate selection on historically high-utility devices make background exploration even sparser for unobserved devices, exacerbating observation latency rather than relieving it.</w:t>
      </w:r>
    </w:p>
    <w:p>
      <w:pPr>
        <w:spacing w:before="120" w:after="40"/>
        <w:jc w:val="center"/>
      </w:pPr>
      <w:r>
        <w:drawing>
          <wp:inline xmlns:a="http://schemas.openxmlformats.org/drawingml/2006/main" xmlns:pic="http://schemas.openxmlformats.org/drawingml/2006/picture">
            <wp:extent cx="5029200" cy="3249637"/>
            <wp:docPr id="3" name="Picture 3"/>
            <wp:cNvGraphicFramePr>
              <a:graphicFrameLocks noChangeAspect="1"/>
            </wp:cNvGraphicFramePr>
            <a:graphic>
              <a:graphicData uri="http://schemas.openxmlformats.org/drawingml/2006/picture">
                <pic:pic>
                  <pic:nvPicPr>
                    <pic:cNvPr id="0" name="fig2_detector_delay_vs_delta.png"/>
                    <pic:cNvPicPr/>
                  </pic:nvPicPr>
                  <pic:blipFill>
                    <a:blip r:embed="rId11"/>
                    <a:stretch>
                      <a:fillRect/>
                    </a:stretch>
                  </pic:blipFill>
                  <pic:spPr>
                    <a:xfrm>
                      <a:off x="0" y="0"/>
                      <a:ext cx="5029200" cy="3249637"/>
                    </a:xfrm>
                    <a:prstGeom prst="rect"/>
                  </pic:spPr>
                </pic:pic>
              </a:graphicData>
            </a:graphic>
          </wp:inline>
        </w:drawing>
      </w:r>
    </w:p>
    <w:p>
      <w:pPr>
        <w:keepNext/>
        <w:spacing w:before="40" w:after="160"/>
        <w:jc w:val="center"/>
      </w:pPr>
      <w:r>
        <w:rPr>
          <w:rFonts w:ascii="Times New Roman" w:hAnsi="Times New Roman"/>
          <w:i/>
          <w:color w:val="464646"/>
          <w:sz w:val="17"/>
        </w:rPr>
        <w:t>Figure 3: Detection delay as a function of utility shift magnitude.</w:t>
      </w:r>
    </w:p>
    <w:p>
      <w:pPr>
        <w:spacing w:before="0" w:after="80" w:line="276" w:lineRule="auto"/>
        <w:jc w:val="both"/>
      </w:pPr>
      <w:r>
        <w:rPr>
          <w:rFonts w:ascii="Times New Roman" w:hAnsi="Times New Roman"/>
          <w:b w:val="0"/>
          <w:i w:val="0"/>
        </w:rPr>
        <w:t>Figure 3 demonstrates this delay inflation empirically. When detectors are calibrated to matched in-control average run lengths (ARL_0 ≈ 126 steps, corresponding to 3.6 false alarms per 500 in-control samples for both CUSUM with h=6.2 and Page-Hinckley with h=8.0), detection delay increases further. CUSUM's apparent speed advantage under loose thresholds (h=4.0, which produced 13.1 false alarms) disappears under fair evaluation. Table 1 connects these calibrated sample delays to actual federated communication rounds at N=100 and K=10. For moderate utility shifts (Delta = 0.50), a calibrated cumulative sum detector requires 15.83 observations. Under N/K = 10, this requirement translates to 158 communication rounds. Even for large shifts (Delta = 1.00), the detector requires 7.65 observations (76.5 communication rounds). In a 100-round experiment where drift occurs at round 50, the detector can't register the shift before the entire training run finishes.</w:t>
      </w:r>
    </w:p>
    <w:tbl>
      <w:tblPr>
        <w:tblW w:type="auto" w:w="0"/>
        <w:jc w:val="center"/>
        <w:tblLook w:firstColumn="1" w:firstRow="1" w:lastColumn="0" w:lastRow="0" w:noHBand="0" w:noVBand="1" w:val="04A0"/>
      </w:tblPr>
      <w:tblGrid>
        <w:gridCol w:w="2520"/>
        <w:gridCol w:w="2520"/>
        <w:gridCol w:w="2520"/>
        <w:gridCol w:w="2520"/>
      </w:tblGrid>
      <w:tr>
        <w:tc>
          <w:tcPr>
            <w:tcW w:type="dxa" w:w="2520"/>
            <w:shd w:fill="1F497D"/>
            <w:tcMar>
              <w:top w:w="100" w:type="dxa"/>
              <w:bottom w:w="100" w:type="dxa"/>
              <w:left w:w="150" w:type="dxa"/>
              <w:right w:w="150" w:type="dxa"/>
            </w:tcMar>
          </w:tcPr>
          <w:p>
            <w:pPr>
              <w:jc w:val="left"/>
            </w:pPr>
            <w:r>
              <w:rPr>
                <w:rFonts w:ascii="Times New Roman" w:hAnsi="Times New Roman"/>
                <w:b/>
                <w:color w:val="FFFFFF"/>
                <w:sz w:val="17"/>
              </w:rPr>
              <w:t>Shift Magnitude</w:t>
            </w:r>
          </w:p>
        </w:tc>
        <w:tc>
          <w:tcPr>
            <w:tcW w:type="dxa" w:w="2520"/>
            <w:shd w:fill="1F497D"/>
            <w:tcMar>
              <w:top w:w="100" w:type="dxa"/>
              <w:bottom w:w="100" w:type="dxa"/>
              <w:left w:w="150" w:type="dxa"/>
              <w:right w:w="150" w:type="dxa"/>
            </w:tcMar>
          </w:tcPr>
          <w:p>
            <w:pPr>
              <w:jc w:val="right"/>
            </w:pPr>
            <w:r>
              <w:rPr>
                <w:rFonts w:ascii="Times New Roman" w:hAnsi="Times New Roman"/>
                <w:b/>
                <w:color w:val="FFFFFF"/>
                <w:sz w:val="17"/>
              </w:rPr>
              <w:t>Sample Delay</w:t>
            </w:r>
          </w:p>
        </w:tc>
        <w:tc>
          <w:tcPr>
            <w:tcW w:type="dxa" w:w="2520"/>
            <w:shd w:fill="1F497D"/>
            <w:tcMar>
              <w:top w:w="100" w:type="dxa"/>
              <w:bottom w:w="100" w:type="dxa"/>
              <w:left w:w="150" w:type="dxa"/>
              <w:right w:w="150" w:type="dxa"/>
            </w:tcMar>
          </w:tcPr>
          <w:p>
            <w:pPr>
              <w:jc w:val="right"/>
            </w:pPr>
            <w:r>
              <w:rPr>
                <w:rFonts w:ascii="Times New Roman" w:hAnsi="Times New Roman"/>
                <w:b/>
                <w:color w:val="FFFFFF"/>
                <w:sz w:val="17"/>
              </w:rPr>
              <w:t>FL Round Latency</w:t>
            </w:r>
          </w:p>
        </w:tc>
        <w:tc>
          <w:tcPr>
            <w:tcW w:type="dxa" w:w="2520"/>
            <w:shd w:fill="1F497D"/>
            <w:tcMar>
              <w:top w:w="100" w:type="dxa"/>
              <w:bottom w:w="100" w:type="dxa"/>
              <w:left w:w="150" w:type="dxa"/>
              <w:right w:w="150" w:type="dxa"/>
            </w:tcMar>
          </w:tcPr>
          <w:p>
            <w:pPr>
              <w:jc w:val="right"/>
            </w:pPr>
            <w:r>
              <w:rPr>
                <w:rFonts w:ascii="Times New Roman" w:hAnsi="Times New Roman"/>
                <w:b/>
                <w:color w:val="FFFFFF"/>
                <w:sz w:val="17"/>
              </w:rPr>
              <w:t>Status at T=100</w:t>
            </w:r>
          </w:p>
        </w:tc>
      </w:tr>
      <w:tr>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Large Shift (Delta = 1.00)</w:t>
            </w:r>
          </w:p>
        </w:tc>
        <w:tc>
          <w:tcPr>
            <w:tcW w:type="dxa" w:w="1728"/>
            <w:tcMar>
              <w:top w:w="80" w:type="dxa"/>
              <w:bottom w:w="80" w:type="dxa"/>
              <w:left w:w="120" w:type="dxa"/>
              <w:right w:w="120" w:type="dxa"/>
            </w:tcMar>
            <w:shd w:fill="FFFFFF"/>
          </w:tcPr>
          <w:p>
            <w:pPr>
              <w:spacing w:before="40" w:after="40"/>
              <w:jc w:val="left"/>
            </w:pPr>
            <w:r>
              <w:rPr>
                <w:rFonts w:ascii="Times New Roman" w:hAnsi="Times New Roman"/>
                <w:color w:val="1E1E1E"/>
                <w:sz w:val="17"/>
              </w:rPr>
              <w:t>7.65 obs</w:t>
            </w:r>
          </w:p>
        </w:tc>
        <w:tc>
          <w:tcPr>
            <w:tcW w:type="dxa" w:w="2016"/>
            <w:tcMar>
              <w:top w:w="80" w:type="dxa"/>
              <w:bottom w:w="80" w:type="dxa"/>
              <w:left w:w="120" w:type="dxa"/>
              <w:right w:w="120" w:type="dxa"/>
            </w:tcMar>
            <w:shd w:fill="FFFFFF"/>
          </w:tcPr>
          <w:p>
            <w:pPr>
              <w:spacing w:before="40" w:after="40"/>
              <w:jc w:val="right"/>
            </w:pPr>
            <w:r>
              <w:rPr>
                <w:rFonts w:ascii="Times New Roman" w:hAnsi="Times New Roman"/>
                <w:color w:val="1E1E1E"/>
                <w:sz w:val="17"/>
              </w:rPr>
              <w:t>77 rounds</w:t>
            </w:r>
          </w:p>
        </w:tc>
        <w:tc>
          <w:tcPr>
            <w:tcW w:type="dxa" w:w="2304"/>
            <w:tcMar>
              <w:top w:w="80" w:type="dxa"/>
              <w:bottom w:w="80" w:type="dxa"/>
              <w:left w:w="120" w:type="dxa"/>
              <w:right w:w="120" w:type="dxa"/>
            </w:tcMar>
            <w:shd w:fill="FFFFFF"/>
          </w:tcPr>
          <w:p>
            <w:pPr>
              <w:spacing w:before="40" w:after="40"/>
              <w:jc w:val="right"/>
            </w:pPr>
            <w:r>
              <w:rPr>
                <w:rFonts w:ascii="Times New Roman" w:hAnsi="Times New Roman"/>
                <w:color w:val="1E1E1E"/>
                <w:sz w:val="17"/>
              </w:rPr>
              <w:t>Misses window</w:t>
            </w:r>
          </w:p>
        </w:tc>
      </w:tr>
      <w:tr>
        <w:tc>
          <w:tcPr>
            <w:tcW w:type="dxa" w:w="2592"/>
            <w:tcMar>
              <w:top w:w="80" w:type="dxa"/>
              <w:bottom w:w="80" w:type="dxa"/>
              <w:left w:w="120" w:type="dxa"/>
              <w:right w:w="120" w:type="dxa"/>
            </w:tcMar>
            <w:shd w:fill="F2F5F9"/>
          </w:tcPr>
          <w:p>
            <w:pPr>
              <w:spacing w:before="40" w:after="40"/>
              <w:jc w:val="left"/>
            </w:pPr>
            <w:r>
              <w:rPr>
                <w:rFonts w:ascii="Times New Roman" w:hAnsi="Times New Roman"/>
                <w:color w:val="1E1E1E"/>
                <w:sz w:val="17"/>
              </w:rPr>
              <w:t>Medium Shift (Delta = 0.50)</w:t>
            </w:r>
          </w:p>
        </w:tc>
        <w:tc>
          <w:tcPr>
            <w:tcW w:type="dxa" w:w="1728"/>
            <w:tcMar>
              <w:top w:w="80" w:type="dxa"/>
              <w:bottom w:w="80" w:type="dxa"/>
              <w:left w:w="120" w:type="dxa"/>
              <w:right w:w="120" w:type="dxa"/>
            </w:tcMar>
            <w:shd w:fill="F2F5F9"/>
          </w:tcPr>
          <w:p>
            <w:pPr>
              <w:spacing w:before="40" w:after="40"/>
              <w:jc w:val="left"/>
            </w:pPr>
            <w:r>
              <w:rPr>
                <w:rFonts w:ascii="Times New Roman" w:hAnsi="Times New Roman"/>
                <w:color w:val="1E1E1E"/>
                <w:sz w:val="17"/>
              </w:rPr>
              <w:t>15.83 obs</w:t>
            </w:r>
          </w:p>
        </w:tc>
        <w:tc>
          <w:tcPr>
            <w:tcW w:type="dxa" w:w="2016"/>
            <w:tcMar>
              <w:top w:w="80" w:type="dxa"/>
              <w:bottom w:w="80" w:type="dxa"/>
              <w:left w:w="120" w:type="dxa"/>
              <w:right w:w="120" w:type="dxa"/>
            </w:tcMar>
            <w:shd w:fill="F2F5F9"/>
          </w:tcPr>
          <w:p>
            <w:pPr>
              <w:spacing w:before="40" w:after="40"/>
              <w:jc w:val="right"/>
            </w:pPr>
            <w:r>
              <w:rPr>
                <w:rFonts w:ascii="Times New Roman" w:hAnsi="Times New Roman"/>
                <w:color w:val="1E1E1E"/>
                <w:sz w:val="17"/>
              </w:rPr>
              <w:t>158 rounds</w:t>
            </w:r>
          </w:p>
        </w:tc>
        <w:tc>
          <w:tcPr>
            <w:tcW w:type="dxa" w:w="2304"/>
            <w:tcMar>
              <w:top w:w="80" w:type="dxa"/>
              <w:bottom w:w="80" w:type="dxa"/>
              <w:left w:w="120" w:type="dxa"/>
              <w:right w:w="120" w:type="dxa"/>
            </w:tcMar>
            <w:shd w:fill="F2F5F9"/>
          </w:tcPr>
          <w:p>
            <w:pPr>
              <w:spacing w:before="40" w:after="40"/>
              <w:jc w:val="right"/>
            </w:pPr>
            <w:r>
              <w:rPr>
                <w:rFonts w:ascii="Times New Roman" w:hAnsi="Times New Roman"/>
                <w:color w:val="1E1E1E"/>
                <w:sz w:val="17"/>
              </w:rPr>
              <w:t>Misses window</w:t>
            </w:r>
          </w:p>
        </w:tc>
      </w:tr>
      <w:tr>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Small Shift (Delta = 0.25)</w:t>
            </w:r>
          </w:p>
        </w:tc>
        <w:tc>
          <w:tcPr>
            <w:tcW w:type="dxa" w:w="1728"/>
            <w:tcMar>
              <w:top w:w="80" w:type="dxa"/>
              <w:bottom w:w="80" w:type="dxa"/>
              <w:left w:w="120" w:type="dxa"/>
              <w:right w:w="120" w:type="dxa"/>
            </w:tcMar>
            <w:shd w:fill="FFFFFF"/>
          </w:tcPr>
          <w:p>
            <w:pPr>
              <w:spacing w:before="40" w:after="40"/>
              <w:jc w:val="left"/>
            </w:pPr>
            <w:r>
              <w:rPr>
                <w:rFonts w:ascii="Times New Roman" w:hAnsi="Times New Roman"/>
                <w:color w:val="1E1E1E"/>
                <w:sz w:val="17"/>
              </w:rPr>
              <w:t>51.28 obs</w:t>
            </w:r>
          </w:p>
        </w:tc>
        <w:tc>
          <w:tcPr>
            <w:tcW w:type="dxa" w:w="2016"/>
            <w:tcMar>
              <w:top w:w="80" w:type="dxa"/>
              <w:bottom w:w="80" w:type="dxa"/>
              <w:left w:w="120" w:type="dxa"/>
              <w:right w:w="120" w:type="dxa"/>
            </w:tcMar>
            <w:shd w:fill="FFFFFF"/>
          </w:tcPr>
          <w:p>
            <w:pPr>
              <w:spacing w:before="40" w:after="40"/>
              <w:jc w:val="right"/>
            </w:pPr>
            <w:r>
              <w:rPr>
                <w:rFonts w:ascii="Times New Roman" w:hAnsi="Times New Roman"/>
                <w:color w:val="1E1E1E"/>
                <w:sz w:val="17"/>
              </w:rPr>
              <w:t>513 rounds</w:t>
            </w:r>
          </w:p>
        </w:tc>
        <w:tc>
          <w:tcPr>
            <w:tcW w:type="dxa" w:w="2304"/>
            <w:tcMar>
              <w:top w:w="80" w:type="dxa"/>
              <w:bottom w:w="80" w:type="dxa"/>
              <w:left w:w="120" w:type="dxa"/>
              <w:right w:w="120" w:type="dxa"/>
            </w:tcMar>
            <w:shd w:fill="FFFFFF"/>
          </w:tcPr>
          <w:p>
            <w:pPr>
              <w:spacing w:before="40" w:after="40"/>
              <w:jc w:val="right"/>
            </w:pPr>
            <w:r>
              <w:rPr>
                <w:rFonts w:ascii="Times New Roman" w:hAnsi="Times New Roman"/>
                <w:color w:val="1E1E1E"/>
                <w:sz w:val="17"/>
              </w:rPr>
              <w:t>Misses window</w:t>
            </w:r>
          </w:p>
        </w:tc>
      </w:tr>
    </w:tbl>
    <w:p>
      <w:pPr>
        <w:spacing w:before="40" w:after="160"/>
        <w:jc w:val="center"/>
      </w:pPr>
      <w:r>
        <w:rPr>
          <w:rFonts w:ascii="Times New Roman" w:hAnsi="Times New Roman"/>
          <w:i/>
          <w:sz w:val="17"/>
        </w:rPr>
        <w:t>Table 1: Calibrated sequential detector delay mapped to federated rounds (N=100, K=10).</w:t>
      </w:r>
    </w:p>
    <w:p>
      <w:pPr>
        <w:keepNext/>
        <w:spacing w:before="160" w:after="60"/>
      </w:pPr>
      <w:r>
        <w:rPr>
          <w:rFonts w:ascii="Times New Roman" w:hAnsi="Times New Roman"/>
          <w:b/>
          <w:i/>
          <w:color w:val="282828"/>
          <w:sz w:val="21"/>
        </w:rPr>
        <w:t>4.2 The Cross-Sectional Normalization Trap</w:t>
      </w:r>
    </w:p>
    <w:p>
      <w:pPr>
        <w:spacing w:before="0" w:after="80" w:line="276" w:lineRule="auto"/>
        <w:jc w:val="both"/>
      </w:pPr>
      <w:r>
        <w:rPr>
          <w:rFonts w:ascii="Times New Roman" w:hAnsi="Times New Roman"/>
          <w:b w:val="0"/>
          <w:i w:val="0"/>
        </w:rPr>
        <w:t>A second obstacle arises from utility normalization. To prevent client loss scales from skewing selection, systems apply robust z-score normalization using Median Absolute Deviation (MAD). Proposition 2 (Common-Mode Invariance of Cross-Sectional MAD): Let each participating client i in S_t undergo an identical additive utility shift u_{i,t} &lt;- u_{i,t} + Delta where Delta is a scalar. The normalized utility satisfies u_tilde_{i,t}(u + Delta) = u_tilde_{i,t}(u) for all i in S_t. Proof Sketch: Because the median operator commutes with scalar addition, median({u_{j,t} + Delta}) = median({u_{j,t}}) + Delta. The shift cancels out in the centered difference: (u_{i,t} + Delta) - (median + Delta) = u_{i,t} - median. Furthermore, absolute deviation around the median satisfies MAD({u_{j,t} + Delta}) = MAD({u_{j,t}}). Consequently, u_tilde_{i,t} is invariant to common-mode shifts. In synthetic simulations with 100% common-mode drift, cross-sectional normalization erases the shift entirely (post-drift normalized score remains 0.005, yielding zero signal shift detections), whereas per-client temporal normalization tracks the true shift (post-drift score -2.662) and achieves 99.8% detection. Drifting clients don't appear as outliers relative to peers in the same round, suppressing the input signal that sequential detectors need.</w:t>
      </w:r>
    </w:p>
    <w:p>
      <w:pPr>
        <w:keepNext/>
        <w:spacing w:before="240" w:after="80"/>
      </w:pPr>
      <w:r>
        <w:rPr>
          <w:rFonts w:ascii="Times New Roman" w:hAnsi="Times New Roman"/>
          <w:b/>
          <w:color w:val="14325A"/>
          <w:sz w:val="24"/>
        </w:rPr>
        <w:t>5. Experimental Evaluation</w:t>
      </w:r>
    </w:p>
    <w:p>
      <w:pPr>
        <w:spacing w:before="0" w:after="80" w:line="276" w:lineRule="auto"/>
        <w:jc w:val="both"/>
      </w:pPr>
      <w:r>
        <w:rPr>
          <w:rFonts w:ascii="Times New Roman" w:hAnsi="Times New Roman"/>
          <w:b w:val="0"/>
          <w:i w:val="0"/>
        </w:rPr>
        <w:t>The empirical testbed evaluates client selection policies across diverse non-stationary workloads. All CIFAR-10 experiments distribute training samples across N=100 clients using a Dirichlet distribution with concentration parameter alpha = 0.5. In each communication round, the server samples K = 10 devices. Five deterministic seeds (42, 43, 44, 45, 46) are executed for each policy.</w:t>
      </w:r>
    </w:p>
    <w:p>
      <w:pPr>
        <w:keepNext/>
        <w:spacing w:before="160" w:after="60"/>
      </w:pPr>
      <w:r>
        <w:rPr>
          <w:rFonts w:ascii="Times New Roman" w:hAnsi="Times New Roman"/>
          <w:b/>
          <w:i/>
          <w:color w:val="282828"/>
          <w:sz w:val="21"/>
        </w:rPr>
        <w:t>5.1 CIFAR-10 Multi-Drift Benchmark</w:t>
      </w:r>
    </w:p>
    <w:p>
      <w:pPr>
        <w:spacing w:before="0" w:after="80" w:line="276" w:lineRule="auto"/>
        <w:jc w:val="both"/>
      </w:pPr>
      <w:r>
        <w:rPr>
          <w:rFonts w:ascii="Times New Roman" w:hAnsi="Times New Roman"/>
          <w:b w:val="0"/>
          <w:i w:val="0"/>
        </w:rPr>
        <w:t>Table 2 reports the benchmark results across three distinct drift modalities: abrupt class swap, continuous feature shift, and gradual linear drift.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97D"/>
            <w:tcMar>
              <w:top w:w="100" w:type="dxa"/>
              <w:bottom w:w="100" w:type="dxa"/>
              <w:left w:w="150" w:type="dxa"/>
              <w:right w:w="150" w:type="dxa"/>
            </w:tcMar>
          </w:tcPr>
          <w:p>
            <w:pPr>
              <w:jc w:val="left"/>
            </w:pPr>
            <w:r>
              <w:rPr>
                <w:rFonts w:ascii="Times New Roman" w:hAnsi="Times New Roman"/>
                <w:b/>
                <w:color w:val="FFFFFF"/>
                <w:sz w:val="17"/>
              </w:rPr>
              <w:t>Drift Modality</w:t>
            </w:r>
          </w:p>
        </w:tc>
        <w:tc>
          <w:tcPr>
            <w:tcW w:type="dxa" w:w="1680"/>
            <w:shd w:fill="1F497D"/>
            <w:tcMar>
              <w:top w:w="100" w:type="dxa"/>
              <w:bottom w:w="100" w:type="dxa"/>
              <w:left w:w="150" w:type="dxa"/>
              <w:right w:w="150" w:type="dxa"/>
            </w:tcMar>
          </w:tcPr>
          <w:p>
            <w:pPr>
              <w:jc w:val="left"/>
            </w:pPr>
            <w:r>
              <w:rPr>
                <w:rFonts w:ascii="Times New Roman" w:hAnsi="Times New Roman"/>
                <w:b/>
                <w:color w:val="FFFFFF"/>
                <w:sz w:val="17"/>
              </w:rPr>
              <w:t>Selection Policy</w:t>
            </w:r>
          </w:p>
        </w:tc>
        <w:tc>
          <w:tcPr>
            <w:tcW w:type="dxa" w:w="1680"/>
            <w:shd w:fill="1F497D"/>
            <w:tcMar>
              <w:top w:w="100" w:type="dxa"/>
              <w:bottom w:w="100" w:type="dxa"/>
              <w:left w:w="150" w:type="dxa"/>
              <w:right w:w="150" w:type="dxa"/>
            </w:tcMar>
          </w:tcPr>
          <w:p>
            <w:pPr>
              <w:jc w:val="right"/>
            </w:pPr>
            <w:r>
              <w:rPr>
                <w:rFonts w:ascii="Times New Roman" w:hAnsi="Times New Roman"/>
                <w:b/>
                <w:color w:val="FFFFFF"/>
                <w:sz w:val="17"/>
              </w:rPr>
              <w:t>Final Acc (%)</w:t>
            </w:r>
          </w:p>
        </w:tc>
        <w:tc>
          <w:tcPr>
            <w:tcW w:type="dxa" w:w="1680"/>
            <w:shd w:fill="1F497D"/>
            <w:tcMar>
              <w:top w:w="100" w:type="dxa"/>
              <w:bottom w:w="100" w:type="dxa"/>
              <w:left w:w="150" w:type="dxa"/>
              <w:right w:w="150" w:type="dxa"/>
            </w:tcMar>
          </w:tcPr>
          <w:p>
            <w:pPr>
              <w:jc w:val="right"/>
            </w:pPr>
            <w:r>
              <w:rPr>
                <w:rFonts w:ascii="Times New Roman" w:hAnsi="Times New Roman"/>
                <w:b/>
                <w:color w:val="FFFFFF"/>
                <w:sz w:val="17"/>
              </w:rPr>
              <w:t>Recovery Acc (%)</w:t>
            </w:r>
          </w:p>
        </w:tc>
        <w:tc>
          <w:tcPr>
            <w:tcW w:type="dxa" w:w="1680"/>
            <w:shd w:fill="1F497D"/>
            <w:tcMar>
              <w:top w:w="100" w:type="dxa"/>
              <w:bottom w:w="100" w:type="dxa"/>
              <w:left w:w="150" w:type="dxa"/>
              <w:right w:w="150" w:type="dxa"/>
            </w:tcMar>
          </w:tcPr>
          <w:p>
            <w:pPr>
              <w:jc w:val="right"/>
            </w:pPr>
            <w:r>
              <w:rPr>
                <w:rFonts w:ascii="Times New Roman" w:hAnsi="Times New Roman"/>
                <w:b/>
                <w:color w:val="FFFFFF"/>
                <w:sz w:val="17"/>
              </w:rPr>
              <w:t>Gini</w:t>
            </w:r>
          </w:p>
        </w:tc>
        <w:tc>
          <w:tcPr>
            <w:tcW w:type="dxa" w:w="1680"/>
            <w:shd w:fill="1F497D"/>
            <w:tcMar>
              <w:top w:w="100" w:type="dxa"/>
              <w:bottom w:w="100" w:type="dxa"/>
              <w:left w:w="150" w:type="dxa"/>
              <w:right w:w="150" w:type="dxa"/>
            </w:tcMar>
          </w:tcPr>
          <w:p>
            <w:pPr>
              <w:jc w:val="right"/>
            </w:pPr>
            <w:r>
              <w:rPr>
                <w:rFonts w:ascii="Times New Roman" w:hAnsi="Times New Roman"/>
                <w:b/>
                <w:color w:val="FFFFFF"/>
                <w:sz w:val="17"/>
              </w:rPr>
              <w:t>Coverage</w:t>
            </w:r>
          </w:p>
        </w:tc>
      </w:tr>
      <w:tr>
        <w:tc>
          <w:tcPr>
            <w:tcW w:type="dxa" w:w="2160"/>
            <w:tcMar>
              <w:top w:w="80" w:type="dxa"/>
              <w:bottom w:w="80" w:type="dxa"/>
              <w:left w:w="120" w:type="dxa"/>
              <w:right w:w="120" w:type="dxa"/>
            </w:tcMar>
            <w:shd w:fill="FFFFFF"/>
          </w:tcPr>
          <w:p>
            <w:pPr>
              <w:spacing w:before="40" w:after="40"/>
              <w:jc w:val="left"/>
            </w:pPr>
            <w:r>
              <w:rPr>
                <w:rFonts w:ascii="Times New Roman" w:hAnsi="Times New Roman"/>
                <w:color w:val="1E1E1E"/>
                <w:sz w:val="17"/>
              </w:rPr>
              <w:t>Abrupt Class Swap</w:t>
            </w:r>
          </w:p>
        </w:tc>
        <w:tc>
          <w:tcPr>
            <w:tcW w:type="dxa" w:w="2448"/>
            <w:tcMar>
              <w:top w:w="80" w:type="dxa"/>
              <w:bottom w:w="80" w:type="dxa"/>
              <w:left w:w="120" w:type="dxa"/>
              <w:right w:w="120" w:type="dxa"/>
            </w:tcMar>
            <w:shd w:fill="FFFFFF"/>
          </w:tcPr>
          <w:p>
            <w:pPr>
              <w:spacing w:before="40" w:after="40"/>
              <w:jc w:val="left"/>
            </w:pPr>
            <w:r>
              <w:rPr>
                <w:rFonts w:ascii="Times New Roman" w:hAnsi="Times New Roman"/>
                <w:color w:val="1E1E1E"/>
                <w:sz w:val="17"/>
              </w:rPr>
              <w:t>Random / FedAvg (B0)</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36.80 [33.7, 39.3]</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26.41 [24.7, 28.1]</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0.1708</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100.0%</w:t>
            </w:r>
          </w:p>
        </w:tc>
      </w:tr>
      <w:tr>
        <w:tc>
          <w:tcPr>
            <w:tcW w:type="dxa" w:w="2160"/>
            <w:tcMar>
              <w:top w:w="80" w:type="dxa"/>
              <w:bottom w:w="80" w:type="dxa"/>
              <w:left w:w="120" w:type="dxa"/>
              <w:right w:w="120" w:type="dxa"/>
            </w:tcMar>
            <w:shd w:fill="F2F5F9"/>
          </w:tcPr>
          <w:p>
            <w:pPr>
              <w:spacing w:before="40" w:after="40"/>
              <w:jc w:val="left"/>
            </w:pPr>
            <w:r>
              <w:rPr>
                <w:rFonts w:ascii="Times New Roman" w:hAnsi="Times New Roman"/>
                <w:color w:val="1E1E1E"/>
                <w:sz w:val="17"/>
              </w:rPr>
              <w:t>(tau = 50)</w:t>
            </w:r>
          </w:p>
        </w:tc>
        <w:tc>
          <w:tcPr>
            <w:tcW w:type="dxa" w:w="2448"/>
            <w:tcMar>
              <w:top w:w="80" w:type="dxa"/>
              <w:bottom w:w="80" w:type="dxa"/>
              <w:left w:w="120" w:type="dxa"/>
              <w:right w:w="120" w:type="dxa"/>
            </w:tcMar>
            <w:shd w:fill="F2F5F9"/>
          </w:tcPr>
          <w:p>
            <w:pPr>
              <w:spacing w:before="40" w:after="40"/>
              <w:jc w:val="left"/>
            </w:pPr>
            <w:r>
              <w:rPr>
                <w:rFonts w:ascii="Times New Roman" w:hAnsi="Times New Roman"/>
                <w:color w:val="1E1E1E"/>
                <w:sz w:val="17"/>
              </w:rPr>
              <w:t>Utility Greedy (B2)</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38.35 [35.8, 40.5]</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27.31 [24.6, 30.5]</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0.8976</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12.0%</w:t>
            </w:r>
          </w:p>
        </w:tc>
      </w:tr>
      <w:tr>
        <w:tc>
          <w:tcPr>
            <w:tcW w:type="dxa" w:w="2160"/>
            <w:tcMar>
              <w:top w:w="80" w:type="dxa"/>
              <w:bottom w:w="80" w:type="dxa"/>
              <w:left w:w="120" w:type="dxa"/>
              <w:right w:w="120" w:type="dxa"/>
            </w:tcMar>
            <w:shd w:fill="FFFFFF"/>
          </w:tcPr>
          <w:p>
            <w:pPr>
              <w:spacing w:before="40" w:after="40"/>
              <w:jc w:val="left"/>
            </w:pPr>
            <w:r>
              <w:rPr>
                <w:rFonts w:ascii="Times New Roman" w:hAnsi="Times New Roman"/>
                <w:color w:val="1E1E1E"/>
                <w:sz w:val="17"/>
              </w:rPr>
            </w:r>
          </w:p>
        </w:tc>
        <w:tc>
          <w:tcPr>
            <w:tcW w:type="dxa" w:w="2448"/>
            <w:tcMar>
              <w:top w:w="80" w:type="dxa"/>
              <w:bottom w:w="80" w:type="dxa"/>
              <w:left w:w="120" w:type="dxa"/>
              <w:right w:w="120" w:type="dxa"/>
            </w:tcMar>
            <w:shd w:fill="FFFFFF"/>
          </w:tcPr>
          <w:p>
            <w:pPr>
              <w:spacing w:before="40" w:after="40"/>
              <w:jc w:val="left"/>
            </w:pPr>
            <w:r>
              <w:rPr>
                <w:rFonts w:ascii="Times New Roman" w:hAnsi="Times New Roman"/>
                <w:color w:val="1E1E1E"/>
                <w:sz w:val="17"/>
              </w:rPr>
              <w:t>Sliding Window (B3)</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37.27 [34.7, 39.3]</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27.49 [25.1, 30.1]</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0.8998</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10.2%</w:t>
            </w:r>
          </w:p>
        </w:tc>
      </w:tr>
      <w:tr>
        <w:tc>
          <w:tcPr>
            <w:tcW w:type="dxa" w:w="2160"/>
            <w:tcMar>
              <w:top w:w="80" w:type="dxa"/>
              <w:bottom w:w="80" w:type="dxa"/>
              <w:left w:w="120" w:type="dxa"/>
              <w:right w:w="120" w:type="dxa"/>
            </w:tcMar>
            <w:shd w:fill="F2F5F9"/>
          </w:tcPr>
          <w:p>
            <w:pPr>
              <w:spacing w:before="40" w:after="40"/>
              <w:jc w:val="left"/>
            </w:pPr>
            <w:r>
              <w:rPr>
                <w:rFonts w:ascii="Times New Roman" w:hAnsi="Times New Roman"/>
                <w:color w:val="1E1E1E"/>
                <w:sz w:val="17"/>
              </w:rPr>
            </w:r>
          </w:p>
        </w:tc>
        <w:tc>
          <w:tcPr>
            <w:tcW w:type="dxa" w:w="2448"/>
            <w:tcMar>
              <w:top w:w="80" w:type="dxa"/>
              <w:bottom w:w="80" w:type="dxa"/>
              <w:left w:w="120" w:type="dxa"/>
              <w:right w:w="120" w:type="dxa"/>
            </w:tcMar>
            <w:shd w:fill="F2F5F9"/>
          </w:tcPr>
          <w:p>
            <w:pPr>
              <w:spacing w:before="40" w:after="40"/>
              <w:jc w:val="left"/>
            </w:pPr>
            <w:r>
              <w:rPr>
                <w:rFonts w:ascii="Times New Roman" w:hAnsi="Times New Roman"/>
                <w:color w:val="1E1E1E"/>
                <w:sz w:val="17"/>
              </w:rPr>
              <w:t>Fixed Exploration (B4)</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32.35 [29.3, 35.6]</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25.24 [23.2, 27.3]</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0.7052</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90.4%</w:t>
            </w:r>
          </w:p>
        </w:tc>
      </w:tr>
      <w:tr>
        <w:tc>
          <w:tcPr>
            <w:tcW w:type="dxa" w:w="2160"/>
            <w:tcMar>
              <w:top w:w="80" w:type="dxa"/>
              <w:bottom w:w="80" w:type="dxa"/>
              <w:left w:w="120" w:type="dxa"/>
              <w:right w:w="120" w:type="dxa"/>
            </w:tcMar>
            <w:shd w:fill="FFFFFF"/>
          </w:tcPr>
          <w:p>
            <w:pPr>
              <w:spacing w:before="40" w:after="40"/>
              <w:jc w:val="left"/>
            </w:pPr>
            <w:r>
              <w:rPr>
                <w:rFonts w:ascii="Times New Roman" w:hAnsi="Times New Roman"/>
                <w:color w:val="1E1E1E"/>
                <w:sz w:val="17"/>
              </w:rPr>
            </w:r>
          </w:p>
        </w:tc>
        <w:tc>
          <w:tcPr>
            <w:tcW w:type="dxa" w:w="2448"/>
            <w:tcMar>
              <w:top w:w="80" w:type="dxa"/>
              <w:bottom w:w="80" w:type="dxa"/>
              <w:left w:w="120" w:type="dxa"/>
              <w:right w:w="120" w:type="dxa"/>
            </w:tcMar>
            <w:shd w:fill="FFFFFF"/>
          </w:tcPr>
          <w:p>
            <w:pPr>
              <w:spacing w:before="40" w:after="40"/>
              <w:jc w:val="left"/>
            </w:pPr>
            <w:r>
              <w:rPr>
                <w:rFonts w:ascii="Times New Roman" w:hAnsi="Times New Roman"/>
                <w:color w:val="1E1E1E"/>
                <w:sz w:val="17"/>
              </w:rPr>
              <w:t>Page-Hinckley Adaptive (B6)</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33.24 [31.7, 34.9]</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25.64 [24.0, 27.1]</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0.4846</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100.0%</w:t>
            </w:r>
          </w:p>
        </w:tc>
      </w:tr>
      <w:tr>
        <w:tc>
          <w:tcPr>
            <w:tcW w:type="dxa" w:w="2160"/>
            <w:tcMar>
              <w:top w:w="80" w:type="dxa"/>
              <w:bottom w:w="80" w:type="dxa"/>
              <w:left w:w="120" w:type="dxa"/>
              <w:right w:w="120" w:type="dxa"/>
            </w:tcMar>
            <w:shd w:fill="F2F5F9"/>
          </w:tcPr>
          <w:p>
            <w:pPr>
              <w:spacing w:before="40" w:after="40"/>
              <w:jc w:val="left"/>
            </w:pPr>
            <w:r>
              <w:rPr>
                <w:rFonts w:ascii="Times New Roman" w:hAnsi="Times New Roman"/>
                <w:color w:val="1E1E1E"/>
                <w:sz w:val="17"/>
              </w:rPr>
            </w:r>
          </w:p>
        </w:tc>
        <w:tc>
          <w:tcPr>
            <w:tcW w:type="dxa" w:w="2448"/>
            <w:tcMar>
              <w:top w:w="80" w:type="dxa"/>
              <w:bottom w:w="80" w:type="dxa"/>
              <w:left w:w="120" w:type="dxa"/>
              <w:right w:w="120" w:type="dxa"/>
            </w:tcMar>
            <w:shd w:fill="F2F5F9"/>
          </w:tcPr>
          <w:p>
            <w:pPr>
              <w:spacing w:before="40" w:after="40"/>
              <w:jc w:val="left"/>
            </w:pPr>
            <w:r>
              <w:rPr>
                <w:rFonts w:ascii="Times New Roman" w:hAnsi="Times New Roman"/>
                <w:color w:val="1E1E1E"/>
                <w:sz w:val="17"/>
              </w:rPr>
              <w:t>FedQual-CPX (B8, Proposed)</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33.24 [31.7, 34.9]</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25.64 [24.0, 27.1]</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0.4846</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100.0%</w:t>
            </w:r>
          </w:p>
        </w:tc>
      </w:tr>
      <w:tr>
        <w:tc>
          <w:tcPr>
            <w:tcW w:type="dxa" w:w="2160"/>
            <w:tcMar>
              <w:top w:w="80" w:type="dxa"/>
              <w:bottom w:w="80" w:type="dxa"/>
              <w:left w:w="120" w:type="dxa"/>
              <w:right w:w="120" w:type="dxa"/>
            </w:tcMar>
            <w:shd w:fill="FFFFFF"/>
          </w:tcPr>
          <w:p>
            <w:pPr>
              <w:spacing w:before="40" w:after="40"/>
              <w:jc w:val="left"/>
            </w:pPr>
            <w:r>
              <w:rPr>
                <w:rFonts w:ascii="Times New Roman" w:hAnsi="Times New Roman"/>
                <w:color w:val="1E1E1E"/>
                <w:sz w:val="17"/>
              </w:rPr>
            </w:r>
          </w:p>
        </w:tc>
        <w:tc>
          <w:tcPr>
            <w:tcW w:type="dxa" w:w="2448"/>
            <w:tcMar>
              <w:top w:w="80" w:type="dxa"/>
              <w:bottom w:w="80" w:type="dxa"/>
              <w:left w:w="120" w:type="dxa"/>
              <w:right w:w="120" w:type="dxa"/>
            </w:tcMar>
            <w:shd w:fill="FFFFFF"/>
          </w:tcPr>
          <w:p>
            <w:pPr>
              <w:spacing w:before="40" w:after="40"/>
              <w:jc w:val="left"/>
            </w:pPr>
            <w:r>
              <w:rPr>
                <w:rFonts w:ascii="Times New Roman" w:hAnsi="Times New Roman"/>
                <w:color w:val="1E1E1E"/>
                <w:sz w:val="17"/>
              </w:rPr>
              <w:t>Oort (B9, OSDI '21)</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34.50 [31.0, 37.8]</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25.75 [24.2, 27.5]</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0.6514</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100.0%</w:t>
            </w:r>
          </w:p>
        </w:tc>
      </w:tr>
      <w:tr>
        <w:tc>
          <w:tcPr>
            <w:tcW w:type="dxa" w:w="2160"/>
            <w:tcMar>
              <w:top w:w="80" w:type="dxa"/>
              <w:bottom w:w="80" w:type="dxa"/>
              <w:left w:w="120" w:type="dxa"/>
              <w:right w:w="120" w:type="dxa"/>
            </w:tcMar>
            <w:shd w:fill="F2F5F9"/>
          </w:tcPr>
          <w:p>
            <w:pPr>
              <w:spacing w:before="40" w:after="40"/>
              <w:jc w:val="left"/>
            </w:pPr>
            <w:r>
              <w:rPr>
                <w:rFonts w:ascii="Times New Roman" w:hAnsi="Times New Roman"/>
                <w:color w:val="1E1E1E"/>
                <w:sz w:val="17"/>
              </w:rPr>
              <w:t>Feature Shift</w:t>
            </w:r>
          </w:p>
        </w:tc>
        <w:tc>
          <w:tcPr>
            <w:tcW w:type="dxa" w:w="2448"/>
            <w:tcMar>
              <w:top w:w="80" w:type="dxa"/>
              <w:bottom w:w="80" w:type="dxa"/>
              <w:left w:w="120" w:type="dxa"/>
              <w:right w:w="120" w:type="dxa"/>
            </w:tcMar>
            <w:shd w:fill="F2F5F9"/>
          </w:tcPr>
          <w:p>
            <w:pPr>
              <w:spacing w:before="40" w:after="40"/>
              <w:jc w:val="left"/>
            </w:pPr>
            <w:r>
              <w:rPr>
                <w:rFonts w:ascii="Times New Roman" w:hAnsi="Times New Roman"/>
                <w:color w:val="1E1E1E"/>
                <w:sz w:val="17"/>
              </w:rPr>
              <w:t>Random / FedAvg (B0)</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36.74 [33.0, 39.4]</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26.94 [25.2, 29.2]</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0.1708</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100.0%</w:t>
            </w:r>
          </w:p>
        </w:tc>
      </w:tr>
      <w:tr>
        <w:tc>
          <w:tcPr>
            <w:tcW w:type="dxa" w:w="2160"/>
            <w:tcMar>
              <w:top w:w="80" w:type="dxa"/>
              <w:bottom w:w="80" w:type="dxa"/>
              <w:left w:w="120" w:type="dxa"/>
              <w:right w:w="120" w:type="dxa"/>
            </w:tcMar>
            <w:shd w:fill="FFFFFF"/>
          </w:tcPr>
          <w:p>
            <w:pPr>
              <w:spacing w:before="40" w:after="40"/>
              <w:jc w:val="left"/>
            </w:pPr>
            <w:r>
              <w:rPr>
                <w:rFonts w:ascii="Times New Roman" w:hAnsi="Times New Roman"/>
                <w:color w:val="1E1E1E"/>
                <w:sz w:val="17"/>
              </w:rPr>
              <w:t>(tau = 50)</w:t>
            </w:r>
          </w:p>
        </w:tc>
        <w:tc>
          <w:tcPr>
            <w:tcW w:type="dxa" w:w="2448"/>
            <w:tcMar>
              <w:top w:w="80" w:type="dxa"/>
              <w:bottom w:w="80" w:type="dxa"/>
              <w:left w:w="120" w:type="dxa"/>
              <w:right w:w="120" w:type="dxa"/>
            </w:tcMar>
            <w:shd w:fill="FFFFFF"/>
          </w:tcPr>
          <w:p>
            <w:pPr>
              <w:spacing w:before="40" w:after="40"/>
              <w:jc w:val="left"/>
            </w:pPr>
            <w:r>
              <w:rPr>
                <w:rFonts w:ascii="Times New Roman" w:hAnsi="Times New Roman"/>
                <w:color w:val="1E1E1E"/>
                <w:sz w:val="17"/>
              </w:rPr>
              <w:t>Utility Greedy (B2)</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37.25 [34.9, 39.9]</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28.18 [26.0, 31.1]</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0.8983</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12.0%</w:t>
            </w:r>
          </w:p>
        </w:tc>
      </w:tr>
      <w:tr>
        <w:tc>
          <w:tcPr>
            <w:tcW w:type="dxa" w:w="2160"/>
            <w:tcMar>
              <w:top w:w="80" w:type="dxa"/>
              <w:bottom w:w="80" w:type="dxa"/>
              <w:left w:w="120" w:type="dxa"/>
              <w:right w:w="120" w:type="dxa"/>
            </w:tcMar>
            <w:shd w:fill="F2F5F9"/>
          </w:tcPr>
          <w:p>
            <w:pPr>
              <w:spacing w:before="40" w:after="40"/>
              <w:jc w:val="left"/>
            </w:pPr>
            <w:r>
              <w:rPr>
                <w:rFonts w:ascii="Times New Roman" w:hAnsi="Times New Roman"/>
                <w:color w:val="1E1E1E"/>
                <w:sz w:val="17"/>
              </w:rPr>
            </w:r>
          </w:p>
        </w:tc>
        <w:tc>
          <w:tcPr>
            <w:tcW w:type="dxa" w:w="2448"/>
            <w:tcMar>
              <w:top w:w="80" w:type="dxa"/>
              <w:bottom w:w="80" w:type="dxa"/>
              <w:left w:w="120" w:type="dxa"/>
              <w:right w:w="120" w:type="dxa"/>
            </w:tcMar>
            <w:shd w:fill="F2F5F9"/>
          </w:tcPr>
          <w:p>
            <w:pPr>
              <w:spacing w:before="40" w:after="40"/>
              <w:jc w:val="left"/>
            </w:pPr>
            <w:r>
              <w:rPr>
                <w:rFonts w:ascii="Times New Roman" w:hAnsi="Times New Roman"/>
                <w:color w:val="1E1E1E"/>
                <w:sz w:val="17"/>
              </w:rPr>
              <w:t>Sliding Window (B3)</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37.41 [35.2, 39.9]</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27.95 [26.0, 30.6]</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0.8996</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10.4%</w:t>
            </w:r>
          </w:p>
        </w:tc>
      </w:tr>
      <w:tr>
        <w:tc>
          <w:tcPr>
            <w:tcW w:type="dxa" w:w="2160"/>
            <w:tcMar>
              <w:top w:w="80" w:type="dxa"/>
              <w:bottom w:w="80" w:type="dxa"/>
              <w:left w:w="120" w:type="dxa"/>
              <w:right w:w="120" w:type="dxa"/>
            </w:tcMar>
            <w:shd w:fill="FFFFFF"/>
          </w:tcPr>
          <w:p>
            <w:pPr>
              <w:spacing w:before="40" w:after="40"/>
              <w:jc w:val="left"/>
            </w:pPr>
            <w:r>
              <w:rPr>
                <w:rFonts w:ascii="Times New Roman" w:hAnsi="Times New Roman"/>
                <w:color w:val="1E1E1E"/>
                <w:sz w:val="17"/>
              </w:rPr>
            </w:r>
          </w:p>
        </w:tc>
        <w:tc>
          <w:tcPr>
            <w:tcW w:type="dxa" w:w="2448"/>
            <w:tcMar>
              <w:top w:w="80" w:type="dxa"/>
              <w:bottom w:w="80" w:type="dxa"/>
              <w:left w:w="120" w:type="dxa"/>
              <w:right w:w="120" w:type="dxa"/>
            </w:tcMar>
            <w:shd w:fill="FFFFFF"/>
          </w:tcPr>
          <w:p>
            <w:pPr>
              <w:spacing w:before="40" w:after="40"/>
              <w:jc w:val="left"/>
            </w:pPr>
            <w:r>
              <w:rPr>
                <w:rFonts w:ascii="Times New Roman" w:hAnsi="Times New Roman"/>
                <w:color w:val="1E1E1E"/>
                <w:sz w:val="17"/>
              </w:rPr>
              <w:t>Fixed Exploration (B4)</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32.86 [28.5, 36.4]</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25.21 [22.3, 28.2]</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0.7075</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90.2%</w:t>
            </w:r>
          </w:p>
        </w:tc>
      </w:tr>
      <w:tr>
        <w:tc>
          <w:tcPr>
            <w:tcW w:type="dxa" w:w="2160"/>
            <w:tcMar>
              <w:top w:w="80" w:type="dxa"/>
              <w:bottom w:w="80" w:type="dxa"/>
              <w:left w:w="120" w:type="dxa"/>
              <w:right w:w="120" w:type="dxa"/>
            </w:tcMar>
            <w:shd w:fill="F2F5F9"/>
          </w:tcPr>
          <w:p>
            <w:pPr>
              <w:spacing w:before="40" w:after="40"/>
              <w:jc w:val="left"/>
            </w:pPr>
            <w:r>
              <w:rPr>
                <w:rFonts w:ascii="Times New Roman" w:hAnsi="Times New Roman"/>
                <w:color w:val="1E1E1E"/>
                <w:sz w:val="17"/>
              </w:rPr>
            </w:r>
          </w:p>
        </w:tc>
        <w:tc>
          <w:tcPr>
            <w:tcW w:type="dxa" w:w="2448"/>
            <w:tcMar>
              <w:top w:w="80" w:type="dxa"/>
              <w:bottom w:w="80" w:type="dxa"/>
              <w:left w:w="120" w:type="dxa"/>
              <w:right w:w="120" w:type="dxa"/>
            </w:tcMar>
            <w:shd w:fill="F2F5F9"/>
          </w:tcPr>
          <w:p>
            <w:pPr>
              <w:spacing w:before="40" w:after="40"/>
              <w:jc w:val="left"/>
            </w:pPr>
            <w:r>
              <w:rPr>
                <w:rFonts w:ascii="Times New Roman" w:hAnsi="Times New Roman"/>
                <w:color w:val="1E1E1E"/>
                <w:sz w:val="17"/>
              </w:rPr>
              <w:t>FedQual-CPX (B8, Proposed)</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35.44 [33.9, 37.0]</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25.65 [23.0, 27.9]</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0.5005</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100.0%</w:t>
            </w:r>
          </w:p>
        </w:tc>
      </w:tr>
      <w:tr>
        <w:tc>
          <w:tcPr>
            <w:tcW w:type="dxa" w:w="2160"/>
            <w:tcMar>
              <w:top w:w="80" w:type="dxa"/>
              <w:bottom w:w="80" w:type="dxa"/>
              <w:left w:w="120" w:type="dxa"/>
              <w:right w:w="120" w:type="dxa"/>
            </w:tcMar>
            <w:shd w:fill="FFFFFF"/>
          </w:tcPr>
          <w:p>
            <w:pPr>
              <w:spacing w:before="40" w:after="40"/>
              <w:jc w:val="left"/>
            </w:pPr>
            <w:r>
              <w:rPr>
                <w:rFonts w:ascii="Times New Roman" w:hAnsi="Times New Roman"/>
                <w:color w:val="1E1E1E"/>
                <w:sz w:val="17"/>
              </w:rPr>
              <w:t>Gradual Drift</w:t>
            </w:r>
          </w:p>
        </w:tc>
        <w:tc>
          <w:tcPr>
            <w:tcW w:type="dxa" w:w="2448"/>
            <w:tcMar>
              <w:top w:w="80" w:type="dxa"/>
              <w:bottom w:w="80" w:type="dxa"/>
              <w:left w:w="120" w:type="dxa"/>
              <w:right w:w="120" w:type="dxa"/>
            </w:tcMar>
            <w:shd w:fill="FFFFFF"/>
          </w:tcPr>
          <w:p>
            <w:pPr>
              <w:spacing w:before="40" w:after="40"/>
              <w:jc w:val="left"/>
            </w:pPr>
            <w:r>
              <w:rPr>
                <w:rFonts w:ascii="Times New Roman" w:hAnsi="Times New Roman"/>
                <w:color w:val="1E1E1E"/>
                <w:sz w:val="17"/>
              </w:rPr>
              <w:t>Random / FedAvg (B0)</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36.79 [33.5, 39.5]</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31.53 [29.6, 32.9]</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0.1708</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100.0%</w:t>
            </w:r>
          </w:p>
        </w:tc>
      </w:tr>
      <w:tr>
        <w:tc>
          <w:tcPr>
            <w:tcW w:type="dxa" w:w="2160"/>
            <w:tcMar>
              <w:top w:w="80" w:type="dxa"/>
              <w:bottom w:w="80" w:type="dxa"/>
              <w:left w:w="120" w:type="dxa"/>
              <w:right w:w="120" w:type="dxa"/>
            </w:tcMar>
            <w:shd w:fill="F2F5F9"/>
          </w:tcPr>
          <w:p>
            <w:pPr>
              <w:spacing w:before="40" w:after="40"/>
              <w:jc w:val="left"/>
            </w:pPr>
            <w:r>
              <w:rPr>
                <w:rFonts w:ascii="Times New Roman" w:hAnsi="Times New Roman"/>
                <w:color w:val="1E1E1E"/>
                <w:sz w:val="17"/>
              </w:rPr>
              <w:t>(tau in [30, 70])</w:t>
            </w:r>
          </w:p>
        </w:tc>
        <w:tc>
          <w:tcPr>
            <w:tcW w:type="dxa" w:w="2448"/>
            <w:tcMar>
              <w:top w:w="80" w:type="dxa"/>
              <w:bottom w:w="80" w:type="dxa"/>
              <w:left w:w="120" w:type="dxa"/>
              <w:right w:w="120" w:type="dxa"/>
            </w:tcMar>
            <w:shd w:fill="F2F5F9"/>
          </w:tcPr>
          <w:p>
            <w:pPr>
              <w:spacing w:before="40" w:after="40"/>
              <w:jc w:val="left"/>
            </w:pPr>
            <w:r>
              <w:rPr>
                <w:rFonts w:ascii="Times New Roman" w:hAnsi="Times New Roman"/>
                <w:color w:val="1E1E1E"/>
                <w:sz w:val="17"/>
              </w:rPr>
              <w:t>Utility Greedy (B2)</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37.23 [33.8, 39.9]</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31.54 [28.9, 34.8]</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0.8977</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11.6%</w:t>
            </w:r>
          </w:p>
        </w:tc>
      </w:tr>
      <w:tr>
        <w:tc>
          <w:tcPr>
            <w:tcW w:type="dxa" w:w="2160"/>
            <w:tcMar>
              <w:top w:w="80" w:type="dxa"/>
              <w:bottom w:w="80" w:type="dxa"/>
              <w:left w:w="120" w:type="dxa"/>
              <w:right w:w="120" w:type="dxa"/>
            </w:tcMar>
            <w:shd w:fill="FFFFFF"/>
          </w:tcPr>
          <w:p>
            <w:pPr>
              <w:spacing w:before="40" w:after="40"/>
              <w:jc w:val="left"/>
            </w:pPr>
            <w:r>
              <w:rPr>
                <w:rFonts w:ascii="Times New Roman" w:hAnsi="Times New Roman"/>
                <w:color w:val="1E1E1E"/>
                <w:sz w:val="17"/>
              </w:rPr>
            </w:r>
          </w:p>
        </w:tc>
        <w:tc>
          <w:tcPr>
            <w:tcW w:type="dxa" w:w="2448"/>
            <w:tcMar>
              <w:top w:w="80" w:type="dxa"/>
              <w:bottom w:w="80" w:type="dxa"/>
              <w:left w:w="120" w:type="dxa"/>
              <w:right w:w="120" w:type="dxa"/>
            </w:tcMar>
            <w:shd w:fill="FFFFFF"/>
          </w:tcPr>
          <w:p>
            <w:pPr>
              <w:spacing w:before="40" w:after="40"/>
              <w:jc w:val="left"/>
            </w:pPr>
            <w:r>
              <w:rPr>
                <w:rFonts w:ascii="Times New Roman" w:hAnsi="Times New Roman"/>
                <w:color w:val="1E1E1E"/>
                <w:sz w:val="17"/>
              </w:rPr>
              <w:t>Sliding Window (B3)</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37.58 [35.3, 39.4]</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32.67 [30.7, 35.3]</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0.8998</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10.2%</w:t>
            </w:r>
          </w:p>
        </w:tc>
      </w:tr>
      <w:tr>
        <w:tc>
          <w:tcPr>
            <w:tcW w:type="dxa" w:w="2160"/>
            <w:tcMar>
              <w:top w:w="80" w:type="dxa"/>
              <w:bottom w:w="80" w:type="dxa"/>
              <w:left w:w="120" w:type="dxa"/>
              <w:right w:w="120" w:type="dxa"/>
            </w:tcMar>
            <w:shd w:fill="F2F5F9"/>
          </w:tcPr>
          <w:p>
            <w:pPr>
              <w:spacing w:before="40" w:after="40"/>
              <w:jc w:val="left"/>
            </w:pPr>
            <w:r>
              <w:rPr>
                <w:rFonts w:ascii="Times New Roman" w:hAnsi="Times New Roman"/>
                <w:color w:val="1E1E1E"/>
                <w:sz w:val="17"/>
              </w:rPr>
            </w:r>
          </w:p>
        </w:tc>
        <w:tc>
          <w:tcPr>
            <w:tcW w:type="dxa" w:w="2448"/>
            <w:tcMar>
              <w:top w:w="80" w:type="dxa"/>
              <w:bottom w:w="80" w:type="dxa"/>
              <w:left w:w="120" w:type="dxa"/>
              <w:right w:w="120" w:type="dxa"/>
            </w:tcMar>
            <w:shd w:fill="F2F5F9"/>
          </w:tcPr>
          <w:p>
            <w:pPr>
              <w:spacing w:before="40" w:after="40"/>
              <w:jc w:val="left"/>
            </w:pPr>
            <w:r>
              <w:rPr>
                <w:rFonts w:ascii="Times New Roman" w:hAnsi="Times New Roman"/>
                <w:color w:val="1E1E1E"/>
                <w:sz w:val="17"/>
              </w:rPr>
              <w:t>Fixed Exploration (B4)</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35.16 [32.1, 37.7]</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31.41 [29.7, 33.6]</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0.7013</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90.6%</w:t>
            </w:r>
          </w:p>
        </w:tc>
      </w:tr>
      <w:tr>
        <w:tc>
          <w:tcPr>
            <w:tcW w:type="dxa" w:w="2160"/>
            <w:tcMar>
              <w:top w:w="80" w:type="dxa"/>
              <w:bottom w:w="80" w:type="dxa"/>
              <w:left w:w="120" w:type="dxa"/>
              <w:right w:w="120" w:type="dxa"/>
            </w:tcMar>
            <w:shd w:fill="FFFFFF"/>
          </w:tcPr>
          <w:p>
            <w:pPr>
              <w:spacing w:before="40" w:after="40"/>
              <w:jc w:val="left"/>
            </w:pPr>
            <w:r>
              <w:rPr>
                <w:rFonts w:ascii="Times New Roman" w:hAnsi="Times New Roman"/>
                <w:color w:val="1E1E1E"/>
                <w:sz w:val="17"/>
              </w:rPr>
            </w:r>
          </w:p>
        </w:tc>
        <w:tc>
          <w:tcPr>
            <w:tcW w:type="dxa" w:w="2448"/>
            <w:tcMar>
              <w:top w:w="80" w:type="dxa"/>
              <w:bottom w:w="80" w:type="dxa"/>
              <w:left w:w="120" w:type="dxa"/>
              <w:right w:w="120" w:type="dxa"/>
            </w:tcMar>
            <w:shd w:fill="FFFFFF"/>
          </w:tcPr>
          <w:p>
            <w:pPr>
              <w:spacing w:before="40" w:after="40"/>
              <w:jc w:val="left"/>
            </w:pPr>
            <w:r>
              <w:rPr>
                <w:rFonts w:ascii="Times New Roman" w:hAnsi="Times New Roman"/>
                <w:color w:val="1E1E1E"/>
                <w:sz w:val="17"/>
              </w:rPr>
              <w:t>FedQual-CPX (B8, Proposed)</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33.37 [32.2, 34.4]</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30.90 [29.5, 32.0]</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0.4962</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100.0%</w:t>
            </w:r>
          </w:p>
        </w:tc>
      </w:tr>
    </w:tbl>
    <w:p>
      <w:pPr>
        <w:spacing w:before="40" w:after="160"/>
        <w:jc w:val="center"/>
      </w:pPr>
      <w:r>
        <w:rPr>
          <w:rFonts w:ascii="Times New Roman" w:hAnsi="Times New Roman"/>
          <w:i/>
          <w:sz w:val="17"/>
        </w:rPr>
        <w:t>Table 2: CIFAR-10 multi-drift benchmark results across five random seeds (mean and 95% bootstrap CI).</w:t>
      </w:r>
    </w:p>
    <w:p>
      <w:pPr>
        <w:spacing w:before="0" w:after="80" w:line="276" w:lineRule="auto"/>
        <w:jc w:val="both"/>
      </w:pPr>
      <w:r>
        <w:rPr>
          <w:rFonts w:ascii="Times New Roman" w:hAnsi="Times New Roman"/>
          <w:b w:val="0"/>
          <w:i w:val="0"/>
        </w:rPr>
        <w:t>Under abrupt class swap drift, uniform random selection achieves 26.41% post-drift recovery accuracy and 36.80% final accuracy. FedQual-CPX achieves 25.64% recovery accuracy and 33.24% final accuracy. The change-aware policy doesn't beat random selection. Random sampling continually revisits clients throughout the network, providing an unbiased gradient estimate that recovers smoothly from local distribution shifts.</w:t>
      </w:r>
    </w:p>
    <w:p>
      <w:pPr>
        <w:spacing w:before="0" w:after="80" w:line="276" w:lineRule="auto"/>
        <w:jc w:val="both"/>
      </w:pPr>
      <w:r>
        <w:rPr>
          <w:rFonts w:ascii="Times New Roman" w:hAnsi="Times New Roman"/>
          <w:b w:val="0"/>
          <w:i w:val="0"/>
        </w:rPr>
        <w:t>Notice that Page-Hinckley Adaptive (B6, evaluated as a detector-substituted control within the FedQual scaffold) and FedQual-CPX (B8) achieve identical test metrics across all seeds to four decimal places (33.24% final accuracy, 25.64% recovery accuracy, and 0.4846 Gini coefficient). Swapping the sequential detector produces no downstream performance difference. To confirm whether this inertness is an artifact of exploration weights, we conducted an ablation sweeping the change explore weight w_c in {0.2, 0.5, 1.0, 2.0, 5.0} alongside a guaranteed priority variant that unconditionally reserves exploration slots for flagged devices. Even with guaranteed exploration priority, final accuracy remains bounded at thirty-three percent. The detector is inert not because of exploration weights, but because unobserved devices cannot trigger alarms before they are selected.</w:t>
      </w:r>
    </w:p>
    <w:p>
      <w:pPr>
        <w:spacing w:before="0" w:after="80" w:line="276" w:lineRule="auto"/>
        <w:jc w:val="both"/>
      </w:pPr>
      <w:r>
        <w:rPr>
          <w:rFonts w:ascii="Times New Roman" w:hAnsi="Times New Roman"/>
          <w:b w:val="0"/>
          <w:i w:val="0"/>
        </w:rPr>
        <w:t>Utility-driven policies like Utility Greedy (B2) and Oort (B9) lock onto early high-utility devices, reaching Gini coefficients near 0.90 and starving up to ninety percent of clients. While FedQual-CPX enforces broad participation (100% coverage, Gini 0.4846), its change-tracking exploration cannot overcome delay inflation at rho = 0.10. Consequently, uniform random selection achieves the strongest post-drift recovery while preserving minimal participation inequality (G = 0.1708).</w:t>
      </w:r>
    </w:p>
    <w:p>
      <w:pPr>
        <w:spacing w:before="120" w:after="40"/>
        <w:jc w:val="center"/>
      </w:pPr>
      <w:r>
        <w:drawing>
          <wp:inline xmlns:a="http://schemas.openxmlformats.org/drawingml/2006/main" xmlns:pic="http://schemas.openxmlformats.org/drawingml/2006/picture">
            <wp:extent cx="5029200" cy="2194560"/>
            <wp:docPr id="4" name="Picture 4"/>
            <wp:cNvGraphicFramePr>
              <a:graphicFrameLocks noChangeAspect="1"/>
            </wp:cNvGraphicFramePr>
            <a:graphic>
              <a:graphicData uri="http://schemas.openxmlformats.org/drawingml/2006/picture">
                <pic:pic>
                  <pic:nvPicPr>
                    <pic:cNvPr id="0" name="fig6_multi_drift_comparison.png"/>
                    <pic:cNvPicPr/>
                  </pic:nvPicPr>
                  <pic:blipFill>
                    <a:blip r:embed="rId12"/>
                    <a:stretch>
                      <a:fillRect/>
                    </a:stretch>
                  </pic:blipFill>
                  <pic:spPr>
                    <a:xfrm>
                      <a:off x="0" y="0"/>
                      <a:ext cx="5029200" cy="2194560"/>
                    </a:xfrm>
                    <a:prstGeom prst="rect"/>
                  </pic:spPr>
                </pic:pic>
              </a:graphicData>
            </a:graphic>
          </wp:inline>
        </w:drawing>
      </w:r>
    </w:p>
    <w:p>
      <w:pPr>
        <w:keepNext/>
        <w:spacing w:before="40" w:after="160"/>
        <w:jc w:val="center"/>
      </w:pPr>
      <w:r>
        <w:rPr>
          <w:rFonts w:ascii="Times New Roman" w:hAnsi="Times New Roman"/>
          <w:i/>
          <w:color w:val="464646"/>
          <w:sz w:val="17"/>
        </w:rPr>
        <w:t>Figure 4: Recovery accuracy across abrupt, feature, and gradual drift regimes.</w:t>
      </w:r>
    </w:p>
    <w:p>
      <w:pPr>
        <w:spacing w:before="120" w:after="40"/>
        <w:jc w:val="center"/>
      </w:pPr>
      <w:r>
        <w:drawing>
          <wp:inline xmlns:a="http://schemas.openxmlformats.org/drawingml/2006/main" xmlns:pic="http://schemas.openxmlformats.org/drawingml/2006/picture">
            <wp:extent cx="5029200" cy="2112264"/>
            <wp:docPr id="5" name="Picture 5"/>
            <wp:cNvGraphicFramePr>
              <a:graphicFrameLocks noChangeAspect="1"/>
            </wp:cNvGraphicFramePr>
            <a:graphic>
              <a:graphicData uri="http://schemas.openxmlformats.org/drawingml/2006/picture">
                <pic:pic>
                  <pic:nvPicPr>
                    <pic:cNvPr id="0" name="fig4_fairness_gini_comparison.png"/>
                    <pic:cNvPicPr/>
                  </pic:nvPicPr>
                  <pic:blipFill>
                    <a:blip r:embed="rId13"/>
                    <a:stretch>
                      <a:fillRect/>
                    </a:stretch>
                  </pic:blipFill>
                  <pic:spPr>
                    <a:xfrm>
                      <a:off x="0" y="0"/>
                      <a:ext cx="5029200" cy="2112264"/>
                    </a:xfrm>
                    <a:prstGeom prst="rect"/>
                  </pic:spPr>
                </pic:pic>
              </a:graphicData>
            </a:graphic>
          </wp:inline>
        </w:drawing>
      </w:r>
    </w:p>
    <w:p>
      <w:pPr>
        <w:keepNext/>
        <w:spacing w:before="40" w:after="160"/>
        <w:jc w:val="center"/>
      </w:pPr>
      <w:r>
        <w:rPr>
          <w:rFonts w:ascii="Times New Roman" w:hAnsi="Times New Roman"/>
          <w:i/>
          <w:color w:val="464646"/>
          <w:sz w:val="17"/>
        </w:rPr>
        <w:t>Figure 5: Participation Gini inequality across client selection policies.</w:t>
      </w:r>
    </w:p>
    <w:p>
      <w:pPr>
        <w:spacing w:before="0" w:after="80" w:line="276" w:lineRule="auto"/>
        <w:jc w:val="both"/>
      </w:pPr>
      <w:r>
        <w:rPr>
          <w:rFonts w:ascii="Times New Roman" w:hAnsi="Times New Roman"/>
          <w:b w:val="0"/>
          <w:i w:val="0"/>
        </w:rPr>
        <w:t>Figure 5 examines participation inequality. Utility greedy selection (B2) and sliding window selection (B3) reach Gini coefficients near 0.90, selecting only ten to twelve clients across the entire run. In contrast, FedQual-CPX preserves full client coverage (100%) and reduces the Gini coefficient to 0.4846.</w:t>
      </w:r>
    </w:p>
    <w:p>
      <w:pPr>
        <w:keepNext/>
        <w:spacing w:before="160" w:after="60"/>
      </w:pPr>
      <w:r>
        <w:rPr>
          <w:rFonts w:ascii="Times New Roman" w:hAnsi="Times New Roman"/>
          <w:b/>
          <w:i/>
          <w:color w:val="282828"/>
          <w:sz w:val="21"/>
        </w:rPr>
        <w:t>5.3 Statistical Significance and Hypothesis Testing</w:t>
      </w:r>
    </w:p>
    <w:p>
      <w:pPr>
        <w:spacing w:before="0" w:after="80" w:line="276" w:lineRule="auto"/>
        <w:jc w:val="both"/>
      </w:pPr>
      <w:r>
        <w:rPr>
          <w:rFonts w:ascii="Times New Roman" w:hAnsi="Times New Roman"/>
          <w:b w:val="0"/>
          <w:i w:val="0"/>
        </w:rPr>
        <w:t>To rigorously assess the performance differences across the 100-round benchmark (N=100, K=10, T=100, tau=50), we conducted paired non-parametric Wilcoxon signed-rank tests and paired Student's t-tests across the five deterministic seeds ([42, 43, 44, 45, 46]) against FedQual-CPX:</w:t>
      </w:r>
    </w:p>
    <w:p>
      <w:pPr>
        <w:pStyle w:val="ListBullet"/>
        <w:spacing w:before="0" w:after="40" w:line="276" w:lineRule="auto"/>
        <w:jc w:val="left"/>
      </w:pPr>
      <w:r>
        <w:rPr>
          <w:rFonts w:ascii="Times New Roman" w:hAnsi="Times New Roman"/>
        </w:rPr>
        <w:t>FedQual-CPX vs. Random (B0): Mean accuracy difference is -3.56% (33.24% vs. 36.80%, Cohen's d = -1.16, Wilcoxon W = 2.0, p = 0.1875). Uniform random selection achieves higher recovery accuracy because unbiased sampling avoids observation latency entirely.</w:t>
      </w:r>
    </w:p>
    <w:p>
      <w:pPr>
        <w:pStyle w:val="ListBullet"/>
        <w:spacing w:before="0" w:after="40" w:line="276" w:lineRule="auto"/>
        <w:jc w:val="left"/>
      </w:pPr>
      <w:r>
        <w:rPr>
          <w:rFonts w:ascii="Times New Roman" w:hAnsi="Times New Roman"/>
        </w:rPr>
        <w:t>FedQual-CPX vs. Utility Greedy (B2): Mean accuracy difference is -5.11% (33.24% vs. 38.35%, Cohen's d = -2.00, paired t = -2.73, p = 0.0525, Wilcoxon W = 1.0, p = 0.1250). Concurrently, FedQual-CPX achieves a massive, highly significant reduction in participation Gini inequality (-0.4130, 0.4846 vs. 0.8976, paired t = -25.40, p = 1.0e-5, Cohen's d = -14.91).</w:t>
      </w:r>
    </w:p>
    <w:p>
      <w:pPr>
        <w:pStyle w:val="ListBullet"/>
        <w:spacing w:before="0" w:after="40" w:line="276" w:lineRule="auto"/>
        <w:jc w:val="left"/>
      </w:pPr>
      <w:r>
        <w:rPr>
          <w:rFonts w:ascii="Times New Roman" w:hAnsi="Times New Roman"/>
        </w:rPr>
        <w:t>FedQual-CPX vs. Oort (B9): Mean accuracy difference is -1.26% (33.24% vs. 34.50%, Cohen's d = -0.38, Wilcoxon W = 6.0, p = 0.6250). While Oort incorporates UCB exploration, it still exhibits substantial participation inequality (G = 0.6514 vs. 0.4846, paired t = -12.14, p = 0.0003, Cohen's d = -5.43).</w:t>
      </w:r>
    </w:p>
    <w:p>
      <w:pPr>
        <w:pStyle w:val="ListBullet"/>
        <w:spacing w:before="0" w:after="40" w:line="276" w:lineRule="auto"/>
        <w:jc w:val="left"/>
      </w:pPr>
      <w:r>
        <w:rPr>
          <w:rFonts w:ascii="Times New Roman" w:hAnsi="Times New Roman"/>
        </w:rPr>
        <w:t>FedQual-CPX vs. Page-Hinckley Adaptive (B6): Produces an exact empirical identity across all five random seeds (Delta = 0.0000%, Cohen's d = 0.00, p = 1.0000), directly proving that the detector algorithm is inert under partial observability.</w:t>
      </w:r>
    </w:p>
    <w:p>
      <w:pPr>
        <w:spacing w:before="0" w:after="80" w:line="276" w:lineRule="auto"/>
        <w:jc w:val="both"/>
      </w:pPr>
      <w:r>
        <w:rPr>
          <w:rFonts w:ascii="Times New Roman" w:hAnsi="Times New Roman"/>
          <w:b w:val="0"/>
          <w:i w:val="0"/>
        </w:rPr>
        <w:t>With n=5 paired seeds, the mathematical lower bound for two-sided Wilcoxon p-values is 2^(-4) = 0.0625, meaning conventional significance (p &lt; 0.05) is structurally unreachable non-parametrically at this sample size; extending to n=10 paired seeds is evaluated to confirm statistical resolution.</w:t>
      </w:r>
    </w:p>
    <w:p>
      <w:pPr>
        <w:keepNext/>
        <w:spacing w:before="160" w:after="60"/>
      </w:pPr>
      <w:r>
        <w:rPr>
          <w:rFonts w:ascii="Times New Roman" w:hAnsi="Times New Roman"/>
          <w:b/>
          <w:i/>
          <w:color w:val="282828"/>
          <w:sz w:val="21"/>
        </w:rPr>
        <w:t>5.4 EMNIST-ByClass Benchmark</w:t>
      </w:r>
    </w:p>
    <w:p>
      <w:pPr>
        <w:spacing w:before="0" w:after="80" w:line="276" w:lineRule="auto"/>
        <w:jc w:val="both"/>
      </w:pPr>
      <w:r>
        <w:rPr>
          <w:rFonts w:ascii="Times New Roman" w:hAnsi="Times New Roman"/>
          <w:b w:val="0"/>
          <w:i w:val="0"/>
        </w:rPr>
        <w:t>Table 3 reports benchmark results on the 62-class EMNIST-ByClass character dataset using a convolutional architecture across fifty thousand training samples distributed across N=100 clients via Dirichlet non-IID partitioning (alpha = 0.5).</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F497D"/>
            <w:tcMar>
              <w:top w:w="100" w:type="dxa"/>
              <w:bottom w:w="100" w:type="dxa"/>
              <w:left w:w="150" w:type="dxa"/>
              <w:right w:w="150" w:type="dxa"/>
            </w:tcMar>
          </w:tcPr>
          <w:p>
            <w:pPr>
              <w:jc w:val="left"/>
            </w:pPr>
            <w:r>
              <w:rPr>
                <w:rFonts w:ascii="Times New Roman" w:hAnsi="Times New Roman"/>
                <w:b/>
                <w:color w:val="FFFFFF"/>
                <w:sz w:val="17"/>
              </w:rPr>
              <w:t>Selection Policy</w:t>
            </w:r>
          </w:p>
        </w:tc>
        <w:tc>
          <w:tcPr>
            <w:tcW w:type="dxa" w:w="2016"/>
            <w:shd w:fill="1F497D"/>
            <w:tcMar>
              <w:top w:w="100" w:type="dxa"/>
              <w:bottom w:w="100" w:type="dxa"/>
              <w:left w:w="150" w:type="dxa"/>
              <w:right w:w="150" w:type="dxa"/>
            </w:tcMar>
          </w:tcPr>
          <w:p>
            <w:pPr>
              <w:jc w:val="right"/>
            </w:pPr>
            <w:r>
              <w:rPr>
                <w:rFonts w:ascii="Times New Roman" w:hAnsi="Times New Roman"/>
                <w:b/>
                <w:color w:val="FFFFFF"/>
                <w:sz w:val="17"/>
              </w:rPr>
              <w:t>Final Acc (%)</w:t>
            </w:r>
          </w:p>
        </w:tc>
        <w:tc>
          <w:tcPr>
            <w:tcW w:type="dxa" w:w="2016"/>
            <w:shd w:fill="1F497D"/>
            <w:tcMar>
              <w:top w:w="100" w:type="dxa"/>
              <w:bottom w:w="100" w:type="dxa"/>
              <w:left w:w="150" w:type="dxa"/>
              <w:right w:w="150" w:type="dxa"/>
            </w:tcMar>
          </w:tcPr>
          <w:p>
            <w:pPr>
              <w:jc w:val="right"/>
            </w:pPr>
            <w:r>
              <w:rPr>
                <w:rFonts w:ascii="Times New Roman" w:hAnsi="Times New Roman"/>
                <w:b/>
                <w:color w:val="FFFFFF"/>
                <w:sz w:val="17"/>
              </w:rPr>
              <w:t>Recovery Acc (%)</w:t>
            </w:r>
          </w:p>
        </w:tc>
        <w:tc>
          <w:tcPr>
            <w:tcW w:type="dxa" w:w="2016"/>
            <w:shd w:fill="1F497D"/>
            <w:tcMar>
              <w:top w:w="100" w:type="dxa"/>
              <w:bottom w:w="100" w:type="dxa"/>
              <w:left w:w="150" w:type="dxa"/>
              <w:right w:w="150" w:type="dxa"/>
            </w:tcMar>
          </w:tcPr>
          <w:p>
            <w:pPr>
              <w:jc w:val="right"/>
            </w:pPr>
            <w:r>
              <w:rPr>
                <w:rFonts w:ascii="Times New Roman" w:hAnsi="Times New Roman"/>
                <w:b/>
                <w:color w:val="FFFFFF"/>
                <w:sz w:val="17"/>
              </w:rPr>
              <w:t>Gini</w:t>
            </w:r>
          </w:p>
        </w:tc>
        <w:tc>
          <w:tcPr>
            <w:tcW w:type="dxa" w:w="2016"/>
            <w:shd w:fill="1F497D"/>
            <w:tcMar>
              <w:top w:w="100" w:type="dxa"/>
              <w:bottom w:w="100" w:type="dxa"/>
              <w:left w:w="150" w:type="dxa"/>
              <w:right w:w="150" w:type="dxa"/>
            </w:tcMar>
          </w:tcPr>
          <w:p>
            <w:pPr>
              <w:jc w:val="right"/>
            </w:pPr>
            <w:r>
              <w:rPr>
                <w:rFonts w:ascii="Times New Roman" w:hAnsi="Times New Roman"/>
                <w:b/>
                <w:color w:val="FFFFFF"/>
                <w:sz w:val="17"/>
              </w:rPr>
              <w:t>Coverage</w:t>
            </w:r>
          </w:p>
        </w:tc>
      </w:tr>
      <w:tr>
        <w:tc>
          <w:tcPr>
            <w:tcW w:type="dxa" w:w="2880"/>
            <w:tcMar>
              <w:top w:w="80" w:type="dxa"/>
              <w:bottom w:w="80" w:type="dxa"/>
              <w:left w:w="120" w:type="dxa"/>
              <w:right w:w="120" w:type="dxa"/>
            </w:tcMar>
            <w:shd w:fill="FFFFFF"/>
          </w:tcPr>
          <w:p>
            <w:pPr>
              <w:spacing w:before="40" w:after="40"/>
              <w:jc w:val="left"/>
            </w:pPr>
            <w:r>
              <w:rPr>
                <w:rFonts w:ascii="Times New Roman" w:hAnsi="Times New Roman"/>
                <w:color w:val="1E1E1E"/>
                <w:sz w:val="17"/>
              </w:rPr>
              <w:t>Random / FedAvg (B0)</w:t>
            </w:r>
          </w:p>
        </w:tc>
        <w:tc>
          <w:tcPr>
            <w:tcW w:type="dxa" w:w="2016"/>
            <w:tcMar>
              <w:top w:w="80" w:type="dxa"/>
              <w:bottom w:w="80" w:type="dxa"/>
              <w:left w:w="120" w:type="dxa"/>
              <w:right w:w="120" w:type="dxa"/>
            </w:tcMar>
            <w:shd w:fill="FFFFFF"/>
          </w:tcPr>
          <w:p>
            <w:pPr>
              <w:spacing w:before="40" w:after="40"/>
              <w:jc w:val="left"/>
            </w:pPr>
            <w:r>
              <w:rPr>
                <w:rFonts w:ascii="Times New Roman" w:hAnsi="Times New Roman"/>
                <w:color w:val="1E1E1E"/>
                <w:sz w:val="17"/>
              </w:rPr>
              <w:t>76.13 [75.1, 76.9]</w:t>
            </w:r>
          </w:p>
        </w:tc>
        <w:tc>
          <w:tcPr>
            <w:tcW w:type="dxa" w:w="2016"/>
            <w:tcMar>
              <w:top w:w="80" w:type="dxa"/>
              <w:bottom w:w="80" w:type="dxa"/>
              <w:left w:w="120" w:type="dxa"/>
              <w:right w:w="120" w:type="dxa"/>
            </w:tcMar>
            <w:shd w:fill="FFFFFF"/>
          </w:tcPr>
          <w:p>
            <w:pPr>
              <w:spacing w:before="40" w:after="40"/>
              <w:jc w:val="right"/>
            </w:pPr>
            <w:r>
              <w:rPr>
                <w:rFonts w:ascii="Times New Roman" w:hAnsi="Times New Roman"/>
                <w:color w:val="1E1E1E"/>
                <w:sz w:val="17"/>
              </w:rPr>
              <w:t>69.97 [69.6, 70.3]</w:t>
            </w:r>
          </w:p>
        </w:tc>
        <w:tc>
          <w:tcPr>
            <w:tcW w:type="dxa" w:w="1440"/>
            <w:tcMar>
              <w:top w:w="80" w:type="dxa"/>
              <w:bottom w:w="80" w:type="dxa"/>
              <w:left w:w="120" w:type="dxa"/>
              <w:right w:w="120" w:type="dxa"/>
            </w:tcMar>
            <w:shd w:fill="FFFFFF"/>
          </w:tcPr>
          <w:p>
            <w:pPr>
              <w:spacing w:before="40" w:after="40"/>
              <w:jc w:val="right"/>
            </w:pPr>
            <w:r>
              <w:rPr>
                <w:rFonts w:ascii="Times New Roman" w:hAnsi="Times New Roman"/>
                <w:color w:val="1E1E1E"/>
                <w:sz w:val="17"/>
              </w:rPr>
              <w:t>0.1708</w:t>
            </w:r>
          </w:p>
        </w:tc>
        <w:tc>
          <w:tcPr>
            <w:tcW w:type="dxa" w:w="1440"/>
            <w:tcMar>
              <w:top w:w="80" w:type="dxa"/>
              <w:bottom w:w="80" w:type="dxa"/>
              <w:left w:w="120" w:type="dxa"/>
              <w:right w:w="120" w:type="dxa"/>
            </w:tcMar>
            <w:shd w:fill="FFFFFF"/>
          </w:tcPr>
          <w:p>
            <w:pPr>
              <w:spacing w:before="40" w:after="40"/>
              <w:jc w:val="right"/>
            </w:pPr>
            <w:r>
              <w:rPr>
                <w:rFonts w:ascii="Times New Roman" w:hAnsi="Times New Roman"/>
                <w:color w:val="1E1E1E"/>
                <w:sz w:val="17"/>
              </w:rPr>
              <w:t>100.0%</w:t>
            </w:r>
          </w:p>
        </w:tc>
      </w:tr>
      <w:tr>
        <w:tc>
          <w:tcPr>
            <w:tcW w:type="dxa" w:w="2880"/>
            <w:tcMar>
              <w:top w:w="80" w:type="dxa"/>
              <w:bottom w:w="80" w:type="dxa"/>
              <w:left w:w="120" w:type="dxa"/>
              <w:right w:w="120" w:type="dxa"/>
            </w:tcMar>
            <w:shd w:fill="F2F5F9"/>
          </w:tcPr>
          <w:p>
            <w:pPr>
              <w:spacing w:before="40" w:after="40"/>
              <w:jc w:val="left"/>
            </w:pPr>
            <w:r>
              <w:rPr>
                <w:rFonts w:ascii="Times New Roman" w:hAnsi="Times New Roman"/>
                <w:color w:val="1E1E1E"/>
                <w:sz w:val="17"/>
              </w:rPr>
              <w:t>Utility Greedy (B2)</w:t>
            </w:r>
          </w:p>
        </w:tc>
        <w:tc>
          <w:tcPr>
            <w:tcW w:type="dxa" w:w="2016"/>
            <w:tcMar>
              <w:top w:w="80" w:type="dxa"/>
              <w:bottom w:w="80" w:type="dxa"/>
              <w:left w:w="120" w:type="dxa"/>
              <w:right w:w="120" w:type="dxa"/>
            </w:tcMar>
            <w:shd w:fill="F2F5F9"/>
          </w:tcPr>
          <w:p>
            <w:pPr>
              <w:spacing w:before="40" w:after="40"/>
              <w:jc w:val="left"/>
            </w:pPr>
            <w:r>
              <w:rPr>
                <w:rFonts w:ascii="Times New Roman" w:hAnsi="Times New Roman"/>
                <w:color w:val="1E1E1E"/>
                <w:sz w:val="17"/>
              </w:rPr>
              <w:t>72.08 [71.0, 73.1]</w:t>
            </w:r>
          </w:p>
        </w:tc>
        <w:tc>
          <w:tcPr>
            <w:tcW w:type="dxa" w:w="2016"/>
            <w:tcMar>
              <w:top w:w="80" w:type="dxa"/>
              <w:bottom w:w="80" w:type="dxa"/>
              <w:left w:w="120" w:type="dxa"/>
              <w:right w:w="120" w:type="dxa"/>
            </w:tcMar>
            <w:shd w:fill="F2F5F9"/>
          </w:tcPr>
          <w:p>
            <w:pPr>
              <w:spacing w:before="40" w:after="40"/>
              <w:jc w:val="right"/>
            </w:pPr>
            <w:r>
              <w:rPr>
                <w:rFonts w:ascii="Times New Roman" w:hAnsi="Times New Roman"/>
                <w:color w:val="1E1E1E"/>
                <w:sz w:val="17"/>
              </w:rPr>
              <w:t>67.48 [66.8, 68.3]</w:t>
            </w:r>
          </w:p>
        </w:tc>
        <w:tc>
          <w:tcPr>
            <w:tcW w:type="dxa" w:w="1440"/>
            <w:tcMar>
              <w:top w:w="80" w:type="dxa"/>
              <w:bottom w:w="80" w:type="dxa"/>
              <w:left w:w="120" w:type="dxa"/>
              <w:right w:w="120" w:type="dxa"/>
            </w:tcMar>
            <w:shd w:fill="F2F5F9"/>
          </w:tcPr>
          <w:p>
            <w:pPr>
              <w:spacing w:before="40" w:after="40"/>
              <w:jc w:val="right"/>
            </w:pPr>
            <w:r>
              <w:rPr>
                <w:rFonts w:ascii="Times New Roman" w:hAnsi="Times New Roman"/>
                <w:color w:val="1E1E1E"/>
                <w:sz w:val="17"/>
              </w:rPr>
              <w:t>0.8801</w:t>
            </w:r>
          </w:p>
        </w:tc>
        <w:tc>
          <w:tcPr>
            <w:tcW w:type="dxa" w:w="1440"/>
            <w:tcMar>
              <w:top w:w="80" w:type="dxa"/>
              <w:bottom w:w="80" w:type="dxa"/>
              <w:left w:w="120" w:type="dxa"/>
              <w:right w:w="120" w:type="dxa"/>
            </w:tcMar>
            <w:shd w:fill="F2F5F9"/>
          </w:tcPr>
          <w:p>
            <w:pPr>
              <w:spacing w:before="40" w:after="40"/>
              <w:jc w:val="right"/>
            </w:pPr>
            <w:r>
              <w:rPr>
                <w:rFonts w:ascii="Times New Roman" w:hAnsi="Times New Roman"/>
                <w:color w:val="1E1E1E"/>
                <w:sz w:val="17"/>
              </w:rPr>
              <w:t>19.4%</w:t>
            </w:r>
          </w:p>
        </w:tc>
      </w:tr>
      <w:tr>
        <w:tc>
          <w:tcPr>
            <w:tcW w:type="dxa" w:w="2880"/>
            <w:tcMar>
              <w:top w:w="80" w:type="dxa"/>
              <w:bottom w:w="80" w:type="dxa"/>
              <w:left w:w="120" w:type="dxa"/>
              <w:right w:w="120" w:type="dxa"/>
            </w:tcMar>
            <w:shd w:fill="FFFFFF"/>
          </w:tcPr>
          <w:p>
            <w:pPr>
              <w:spacing w:before="40" w:after="40"/>
              <w:jc w:val="left"/>
            </w:pPr>
            <w:r>
              <w:rPr>
                <w:rFonts w:ascii="Times New Roman" w:hAnsi="Times New Roman"/>
                <w:color w:val="1E1E1E"/>
                <w:sz w:val="17"/>
              </w:rPr>
              <w:t>Fixed Exploration (B4)</w:t>
            </w:r>
          </w:p>
        </w:tc>
        <w:tc>
          <w:tcPr>
            <w:tcW w:type="dxa" w:w="2016"/>
            <w:tcMar>
              <w:top w:w="80" w:type="dxa"/>
              <w:bottom w:w="80" w:type="dxa"/>
              <w:left w:w="120" w:type="dxa"/>
              <w:right w:w="120" w:type="dxa"/>
            </w:tcMar>
            <w:shd w:fill="FFFFFF"/>
          </w:tcPr>
          <w:p>
            <w:pPr>
              <w:spacing w:before="40" w:after="40"/>
              <w:jc w:val="left"/>
            </w:pPr>
            <w:r>
              <w:rPr>
                <w:rFonts w:ascii="Times New Roman" w:hAnsi="Times New Roman"/>
                <w:color w:val="1E1E1E"/>
                <w:sz w:val="17"/>
              </w:rPr>
              <w:t>73.88 [72.0, 75.0]</w:t>
            </w:r>
          </w:p>
        </w:tc>
        <w:tc>
          <w:tcPr>
            <w:tcW w:type="dxa" w:w="2016"/>
            <w:tcMar>
              <w:top w:w="80" w:type="dxa"/>
              <w:bottom w:w="80" w:type="dxa"/>
              <w:left w:w="120" w:type="dxa"/>
              <w:right w:w="120" w:type="dxa"/>
            </w:tcMar>
            <w:shd w:fill="FFFFFF"/>
          </w:tcPr>
          <w:p>
            <w:pPr>
              <w:spacing w:before="40" w:after="40"/>
              <w:jc w:val="right"/>
            </w:pPr>
            <w:r>
              <w:rPr>
                <w:rFonts w:ascii="Times New Roman" w:hAnsi="Times New Roman"/>
                <w:color w:val="1E1E1E"/>
                <w:sz w:val="17"/>
              </w:rPr>
              <w:t>69.80 [69.2, 70.4]</w:t>
            </w:r>
          </w:p>
        </w:tc>
        <w:tc>
          <w:tcPr>
            <w:tcW w:type="dxa" w:w="1440"/>
            <w:tcMar>
              <w:top w:w="80" w:type="dxa"/>
              <w:bottom w:w="80" w:type="dxa"/>
              <w:left w:w="120" w:type="dxa"/>
              <w:right w:w="120" w:type="dxa"/>
            </w:tcMar>
            <w:shd w:fill="FFFFFF"/>
          </w:tcPr>
          <w:p>
            <w:pPr>
              <w:spacing w:before="40" w:after="40"/>
              <w:jc w:val="right"/>
            </w:pPr>
            <w:r>
              <w:rPr>
                <w:rFonts w:ascii="Times New Roman" w:hAnsi="Times New Roman"/>
                <w:color w:val="1E1E1E"/>
                <w:sz w:val="17"/>
              </w:rPr>
              <w:t>0.5815</w:t>
            </w:r>
          </w:p>
        </w:tc>
        <w:tc>
          <w:tcPr>
            <w:tcW w:type="dxa" w:w="1440"/>
            <w:tcMar>
              <w:top w:w="80" w:type="dxa"/>
              <w:bottom w:w="80" w:type="dxa"/>
              <w:left w:w="120" w:type="dxa"/>
              <w:right w:w="120" w:type="dxa"/>
            </w:tcMar>
            <w:shd w:fill="FFFFFF"/>
          </w:tcPr>
          <w:p>
            <w:pPr>
              <w:spacing w:before="40" w:after="40"/>
              <w:jc w:val="right"/>
            </w:pPr>
            <w:r>
              <w:rPr>
                <w:rFonts w:ascii="Times New Roman" w:hAnsi="Times New Roman"/>
                <w:color w:val="1E1E1E"/>
                <w:sz w:val="17"/>
              </w:rPr>
              <w:t>92.2%</w:t>
            </w:r>
          </w:p>
        </w:tc>
      </w:tr>
      <w:tr>
        <w:tc>
          <w:tcPr>
            <w:tcW w:type="dxa" w:w="2880"/>
            <w:tcMar>
              <w:top w:w="80" w:type="dxa"/>
              <w:bottom w:w="80" w:type="dxa"/>
              <w:left w:w="120" w:type="dxa"/>
              <w:right w:w="120" w:type="dxa"/>
            </w:tcMar>
            <w:shd w:fill="F2F5F9"/>
          </w:tcPr>
          <w:p>
            <w:pPr>
              <w:spacing w:before="40" w:after="40"/>
              <w:jc w:val="left"/>
            </w:pPr>
            <w:r>
              <w:rPr>
                <w:rFonts w:ascii="Times New Roman" w:hAnsi="Times New Roman"/>
                <w:color w:val="1E1E1E"/>
                <w:sz w:val="17"/>
              </w:rPr>
              <w:t>FedQual-CPX (B8)</w:t>
            </w:r>
          </w:p>
        </w:tc>
        <w:tc>
          <w:tcPr>
            <w:tcW w:type="dxa" w:w="2016"/>
            <w:tcMar>
              <w:top w:w="80" w:type="dxa"/>
              <w:bottom w:w="80" w:type="dxa"/>
              <w:left w:w="120" w:type="dxa"/>
              <w:right w:w="120" w:type="dxa"/>
            </w:tcMar>
            <w:shd w:fill="F2F5F9"/>
          </w:tcPr>
          <w:p>
            <w:pPr>
              <w:spacing w:before="40" w:after="40"/>
              <w:jc w:val="left"/>
            </w:pPr>
            <w:r>
              <w:rPr>
                <w:rFonts w:ascii="Times New Roman" w:hAnsi="Times New Roman"/>
                <w:color w:val="1E1E1E"/>
                <w:sz w:val="17"/>
              </w:rPr>
              <w:t>74.79 [73.8, 75.8]</w:t>
            </w:r>
          </w:p>
        </w:tc>
        <w:tc>
          <w:tcPr>
            <w:tcW w:type="dxa" w:w="2016"/>
            <w:tcMar>
              <w:top w:w="80" w:type="dxa"/>
              <w:bottom w:w="80" w:type="dxa"/>
              <w:left w:w="120" w:type="dxa"/>
              <w:right w:w="120" w:type="dxa"/>
            </w:tcMar>
            <w:shd w:fill="F2F5F9"/>
          </w:tcPr>
          <w:p>
            <w:pPr>
              <w:spacing w:before="40" w:after="40"/>
              <w:jc w:val="right"/>
            </w:pPr>
            <w:r>
              <w:rPr>
                <w:rFonts w:ascii="Times New Roman" w:hAnsi="Times New Roman"/>
                <w:color w:val="1E1E1E"/>
                <w:sz w:val="17"/>
              </w:rPr>
              <w:t>69.07 [68.5, 69.7]</w:t>
            </w:r>
          </w:p>
        </w:tc>
        <w:tc>
          <w:tcPr>
            <w:tcW w:type="dxa" w:w="1440"/>
            <w:tcMar>
              <w:top w:w="80" w:type="dxa"/>
              <w:bottom w:w="80" w:type="dxa"/>
              <w:left w:w="120" w:type="dxa"/>
              <w:right w:w="120" w:type="dxa"/>
            </w:tcMar>
            <w:shd w:fill="F2F5F9"/>
          </w:tcPr>
          <w:p>
            <w:pPr>
              <w:spacing w:before="40" w:after="40"/>
              <w:jc w:val="right"/>
            </w:pPr>
            <w:r>
              <w:rPr>
                <w:rFonts w:ascii="Times New Roman" w:hAnsi="Times New Roman"/>
                <w:color w:val="1E1E1E"/>
                <w:sz w:val="17"/>
              </w:rPr>
              <w:t>0.4038</w:t>
            </w:r>
          </w:p>
        </w:tc>
        <w:tc>
          <w:tcPr>
            <w:tcW w:type="dxa" w:w="1440"/>
            <w:tcMar>
              <w:top w:w="80" w:type="dxa"/>
              <w:bottom w:w="80" w:type="dxa"/>
              <w:left w:w="120" w:type="dxa"/>
              <w:right w:w="120" w:type="dxa"/>
            </w:tcMar>
            <w:shd w:fill="F2F5F9"/>
          </w:tcPr>
          <w:p>
            <w:pPr>
              <w:spacing w:before="40" w:after="40"/>
              <w:jc w:val="right"/>
            </w:pPr>
            <w:r>
              <w:rPr>
                <w:rFonts w:ascii="Times New Roman" w:hAnsi="Times New Roman"/>
                <w:color w:val="1E1E1E"/>
                <w:sz w:val="17"/>
              </w:rPr>
              <w:t>100.0%</w:t>
            </w:r>
          </w:p>
        </w:tc>
      </w:tr>
    </w:tbl>
    <w:p>
      <w:pPr>
        <w:spacing w:before="40" w:after="160"/>
        <w:jc w:val="center"/>
      </w:pPr>
      <w:r>
        <w:rPr>
          <w:rFonts w:ascii="Times New Roman" w:hAnsi="Times New Roman"/>
          <w:i/>
          <w:sz w:val="17"/>
        </w:rPr>
        <w:t>Table 3: EMNIST-ByClass cross-dataset benchmark results across five seeds.</w:t>
      </w:r>
    </w:p>
    <w:p>
      <w:pPr>
        <w:spacing w:before="120" w:after="40"/>
        <w:jc w:val="center"/>
      </w:pPr>
      <w:r>
        <w:drawing>
          <wp:inline xmlns:a="http://schemas.openxmlformats.org/drawingml/2006/main" xmlns:pic="http://schemas.openxmlformats.org/drawingml/2006/picture">
            <wp:extent cx="5029200" cy="2194560"/>
            <wp:docPr id="6" name="Picture 6"/>
            <wp:cNvGraphicFramePr>
              <a:graphicFrameLocks noChangeAspect="1"/>
            </wp:cNvGraphicFramePr>
            <a:graphic>
              <a:graphicData uri="http://schemas.openxmlformats.org/drawingml/2006/picture">
                <pic:pic>
                  <pic:nvPicPr>
                    <pic:cNvPr id="0" name="fig7_cross_dataset_benchmarks.png"/>
                    <pic:cNvPicPr/>
                  </pic:nvPicPr>
                  <pic:blipFill>
                    <a:blip r:embed="rId14"/>
                    <a:stretch>
                      <a:fillRect/>
                    </a:stretch>
                  </pic:blipFill>
                  <pic:spPr>
                    <a:xfrm>
                      <a:off x="0" y="0"/>
                      <a:ext cx="5029200" cy="2194560"/>
                    </a:xfrm>
                    <a:prstGeom prst="rect"/>
                  </pic:spPr>
                </pic:pic>
              </a:graphicData>
            </a:graphic>
          </wp:inline>
        </w:drawing>
      </w:r>
    </w:p>
    <w:p>
      <w:pPr>
        <w:keepNext/>
        <w:spacing w:before="40" w:after="160"/>
        <w:jc w:val="center"/>
      </w:pPr>
      <w:r>
        <w:rPr>
          <w:rFonts w:ascii="Times New Roman" w:hAnsi="Times New Roman"/>
          <w:i/>
          <w:color w:val="464646"/>
          <w:sz w:val="17"/>
        </w:rPr>
        <w:t>Figure 6: Evaluation accuracy curves on the EMNIST-ByClass benchmark.</w:t>
      </w:r>
    </w:p>
    <w:p>
      <w:pPr>
        <w:spacing w:before="0" w:after="80" w:line="276" w:lineRule="auto"/>
        <w:jc w:val="both"/>
      </w:pPr>
      <w:r>
        <w:rPr>
          <w:rFonts w:ascii="Times New Roman" w:hAnsi="Times New Roman"/>
          <w:b w:val="0"/>
          <w:i w:val="0"/>
        </w:rPr>
        <w:t>On EMNIST-ByClass, random selection again achieves the highest final accuracy (76.13%) and highest post-drift recovery accuracy (69.97%). FedQual-CPX achieves 74.79% final accuracy and 69.07% recovery accuracy. Greedy selection drops to 72.08% accuracy and starves eighty percent of edge devices.</w:t>
      </w:r>
    </w:p>
    <w:p>
      <w:pPr>
        <w:keepNext/>
        <w:spacing w:before="240" w:after="80"/>
      </w:pPr>
      <w:r>
        <w:rPr>
          <w:rFonts w:ascii="Times New Roman" w:hAnsi="Times New Roman"/>
          <w:b/>
          <w:color w:val="14325A"/>
          <w:sz w:val="24"/>
        </w:rPr>
        <w:t>6. Diagnostic Ablation Study</w:t>
      </w:r>
    </w:p>
    <w:p>
      <w:pPr>
        <w:spacing w:before="0" w:after="80" w:line="276" w:lineRule="auto"/>
        <w:jc w:val="both"/>
      </w:pPr>
      <w:r>
        <w:rPr>
          <w:rFonts w:ascii="Times New Roman" w:hAnsi="Times New Roman"/>
          <w:b w:val="0"/>
          <w:i w:val="0"/>
        </w:rPr>
        <w:t>To verify why change detection remains inert, Table 4 presents a systematic ten-condition ablation matrix on CIFAR-10. These runs are single-seed and should be treated as indicative rather than statistically conclusive, particularly for sub-one-percent differences across normalization variants.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F497D"/>
            <w:tcMar>
              <w:top w:w="100" w:type="dxa"/>
              <w:bottom w:w="100" w:type="dxa"/>
              <w:left w:w="150" w:type="dxa"/>
              <w:right w:w="150" w:type="dxa"/>
            </w:tcMar>
          </w:tcPr>
          <w:p>
            <w:pPr>
              <w:jc w:val="left"/>
            </w:pPr>
            <w:r>
              <w:rPr>
                <w:rFonts w:ascii="Times New Roman" w:hAnsi="Times New Roman"/>
                <w:b/>
                <w:color w:val="FFFFFF"/>
                <w:sz w:val="17"/>
              </w:rPr>
              <w:t>Condition Key</w:t>
            </w:r>
          </w:p>
        </w:tc>
        <w:tc>
          <w:tcPr>
            <w:tcW w:type="dxa" w:w="2016"/>
            <w:shd w:fill="1F497D"/>
            <w:tcMar>
              <w:top w:w="100" w:type="dxa"/>
              <w:bottom w:w="100" w:type="dxa"/>
              <w:left w:w="150" w:type="dxa"/>
              <w:right w:w="150" w:type="dxa"/>
            </w:tcMar>
          </w:tcPr>
          <w:p>
            <w:pPr>
              <w:jc w:val="left"/>
            </w:pPr>
            <w:r>
              <w:rPr>
                <w:rFonts w:ascii="Times New Roman" w:hAnsi="Times New Roman"/>
                <w:b/>
                <w:color w:val="FFFFFF"/>
                <w:sz w:val="17"/>
              </w:rPr>
              <w:t>Ablated Module</w:t>
            </w:r>
          </w:p>
        </w:tc>
        <w:tc>
          <w:tcPr>
            <w:tcW w:type="dxa" w:w="2016"/>
            <w:shd w:fill="1F497D"/>
            <w:tcMar>
              <w:top w:w="100" w:type="dxa"/>
              <w:bottom w:w="100" w:type="dxa"/>
              <w:left w:w="150" w:type="dxa"/>
              <w:right w:w="150" w:type="dxa"/>
            </w:tcMar>
          </w:tcPr>
          <w:p>
            <w:pPr>
              <w:jc w:val="right"/>
            </w:pPr>
            <w:r>
              <w:rPr>
                <w:rFonts w:ascii="Times New Roman" w:hAnsi="Times New Roman"/>
                <w:b/>
                <w:color w:val="FFFFFF"/>
                <w:sz w:val="17"/>
              </w:rPr>
              <w:t>Best Acc</w:t>
            </w:r>
          </w:p>
        </w:tc>
        <w:tc>
          <w:tcPr>
            <w:tcW w:type="dxa" w:w="2016"/>
            <w:shd w:fill="1F497D"/>
            <w:tcMar>
              <w:top w:w="100" w:type="dxa"/>
              <w:bottom w:w="100" w:type="dxa"/>
              <w:left w:w="150" w:type="dxa"/>
              <w:right w:w="150" w:type="dxa"/>
            </w:tcMar>
          </w:tcPr>
          <w:p>
            <w:pPr>
              <w:jc w:val="right"/>
            </w:pPr>
            <w:r>
              <w:rPr>
                <w:rFonts w:ascii="Times New Roman" w:hAnsi="Times New Roman"/>
                <w:b/>
                <w:color w:val="FFFFFF"/>
                <w:sz w:val="17"/>
              </w:rPr>
              <w:t>Final Acc</w:t>
            </w:r>
          </w:p>
        </w:tc>
        <w:tc>
          <w:tcPr>
            <w:tcW w:type="dxa" w:w="2016"/>
            <w:shd w:fill="1F497D"/>
            <w:tcMar>
              <w:top w:w="100" w:type="dxa"/>
              <w:bottom w:w="100" w:type="dxa"/>
              <w:left w:w="150" w:type="dxa"/>
              <w:right w:w="150" w:type="dxa"/>
            </w:tcMar>
          </w:tcPr>
          <w:p>
            <w:pPr>
              <w:jc w:val="right"/>
            </w:pPr>
            <w:r>
              <w:rPr>
                <w:rFonts w:ascii="Times New Roman" w:hAnsi="Times New Roman"/>
                <w:b/>
                <w:color w:val="FFFFFF"/>
                <w:sz w:val="17"/>
              </w:rPr>
              <w:t>Gini</w:t>
            </w:r>
          </w:p>
        </w:tc>
      </w:tr>
      <w:tr>
        <w:tc>
          <w:tcPr>
            <w:tcW w:type="dxa" w:w="2304"/>
            <w:tcMar>
              <w:top w:w="80" w:type="dxa"/>
              <w:bottom w:w="80" w:type="dxa"/>
              <w:left w:w="120" w:type="dxa"/>
              <w:right w:w="120" w:type="dxa"/>
            </w:tcMar>
            <w:shd w:fill="FFFFFF"/>
          </w:tcPr>
          <w:p>
            <w:pPr>
              <w:spacing w:before="40" w:after="40"/>
              <w:jc w:val="left"/>
            </w:pPr>
            <w:r>
              <w:rPr>
                <w:rFonts w:ascii="Times New Roman" w:hAnsi="Times New Roman"/>
                <w:color w:val="1E1E1E"/>
                <w:sz w:val="17"/>
              </w:rPr>
              <w:t>A1_cusum_full</w:t>
            </w:r>
          </w:p>
        </w:tc>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Full Proposed CUSUM</w:t>
            </w:r>
          </w:p>
        </w:tc>
        <w:tc>
          <w:tcPr>
            <w:tcW w:type="dxa" w:w="1728"/>
            <w:tcMar>
              <w:top w:w="80" w:type="dxa"/>
              <w:bottom w:w="80" w:type="dxa"/>
              <w:left w:w="120" w:type="dxa"/>
              <w:right w:w="120" w:type="dxa"/>
            </w:tcMar>
            <w:shd w:fill="FFFFFF"/>
          </w:tcPr>
          <w:p>
            <w:pPr>
              <w:spacing w:before="40" w:after="40"/>
              <w:jc w:val="right"/>
            </w:pPr>
            <w:r>
              <w:rPr>
                <w:rFonts w:ascii="Times New Roman" w:hAnsi="Times New Roman"/>
                <w:color w:val="1E1E1E"/>
                <w:sz w:val="17"/>
              </w:rPr>
              <w:t>32.62%</w:t>
            </w:r>
          </w:p>
        </w:tc>
        <w:tc>
          <w:tcPr>
            <w:tcW w:type="dxa" w:w="1728"/>
            <w:tcMar>
              <w:top w:w="80" w:type="dxa"/>
              <w:bottom w:w="80" w:type="dxa"/>
              <w:left w:w="120" w:type="dxa"/>
              <w:right w:w="120" w:type="dxa"/>
            </w:tcMar>
            <w:shd w:fill="FFFFFF"/>
          </w:tcPr>
          <w:p>
            <w:pPr>
              <w:spacing w:before="40" w:after="40"/>
              <w:jc w:val="right"/>
            </w:pPr>
            <w:r>
              <w:rPr>
                <w:rFonts w:ascii="Times New Roman" w:hAnsi="Times New Roman"/>
                <w:color w:val="1E1E1E"/>
                <w:sz w:val="17"/>
              </w:rPr>
              <w:t>32.45%</w:t>
            </w:r>
          </w:p>
        </w:tc>
        <w:tc>
          <w:tcPr>
            <w:tcW w:type="dxa" w:w="1440"/>
            <w:tcMar>
              <w:top w:w="80" w:type="dxa"/>
              <w:bottom w:w="80" w:type="dxa"/>
              <w:left w:w="120" w:type="dxa"/>
              <w:right w:w="120" w:type="dxa"/>
            </w:tcMar>
            <w:shd w:fill="FFFFFF"/>
          </w:tcPr>
          <w:p>
            <w:pPr>
              <w:spacing w:before="40" w:after="40"/>
              <w:jc w:val="right"/>
            </w:pPr>
            <w:r>
              <w:rPr>
                <w:rFonts w:ascii="Times New Roman" w:hAnsi="Times New Roman"/>
                <w:color w:val="1E1E1E"/>
                <w:sz w:val="17"/>
              </w:rPr>
              <w:t>0.2540</w:t>
            </w:r>
          </w:p>
        </w:tc>
      </w:tr>
      <w:tr>
        <w:tc>
          <w:tcPr>
            <w:tcW w:type="dxa" w:w="2304"/>
            <w:tcMar>
              <w:top w:w="80" w:type="dxa"/>
              <w:bottom w:w="80" w:type="dxa"/>
              <w:left w:w="120" w:type="dxa"/>
              <w:right w:w="120" w:type="dxa"/>
            </w:tcMar>
            <w:shd w:fill="F2F5F9"/>
          </w:tcPr>
          <w:p>
            <w:pPr>
              <w:spacing w:before="40" w:after="40"/>
              <w:jc w:val="left"/>
            </w:pPr>
            <w:r>
              <w:rPr>
                <w:rFonts w:ascii="Times New Roman" w:hAnsi="Times New Roman"/>
                <w:color w:val="1E1E1E"/>
                <w:sz w:val="17"/>
              </w:rPr>
              <w:t>A2_page_hinckley</w:t>
            </w:r>
          </w:p>
        </w:tc>
        <w:tc>
          <w:tcPr>
            <w:tcW w:type="dxa" w:w="2592"/>
            <w:tcMar>
              <w:top w:w="80" w:type="dxa"/>
              <w:bottom w:w="80" w:type="dxa"/>
              <w:left w:w="120" w:type="dxa"/>
              <w:right w:w="120" w:type="dxa"/>
            </w:tcMar>
            <w:shd w:fill="F2F5F9"/>
          </w:tcPr>
          <w:p>
            <w:pPr>
              <w:spacing w:before="40" w:after="40"/>
              <w:jc w:val="left"/>
            </w:pPr>
            <w:r>
              <w:rPr>
                <w:rFonts w:ascii="Times New Roman" w:hAnsi="Times New Roman"/>
                <w:color w:val="1E1E1E"/>
                <w:sz w:val="17"/>
              </w:rPr>
              <w:t>Page-Hinckley Detector</w:t>
            </w:r>
          </w:p>
        </w:tc>
        <w:tc>
          <w:tcPr>
            <w:tcW w:type="dxa" w:w="1728"/>
            <w:tcMar>
              <w:top w:w="80" w:type="dxa"/>
              <w:bottom w:w="80" w:type="dxa"/>
              <w:left w:w="120" w:type="dxa"/>
              <w:right w:w="120" w:type="dxa"/>
            </w:tcMar>
            <w:shd w:fill="F2F5F9"/>
          </w:tcPr>
          <w:p>
            <w:pPr>
              <w:spacing w:before="40" w:after="40"/>
              <w:jc w:val="right"/>
            </w:pPr>
            <w:r>
              <w:rPr>
                <w:rFonts w:ascii="Times New Roman" w:hAnsi="Times New Roman"/>
                <w:color w:val="1E1E1E"/>
                <w:sz w:val="17"/>
              </w:rPr>
              <w:t>32.62%</w:t>
            </w:r>
          </w:p>
        </w:tc>
        <w:tc>
          <w:tcPr>
            <w:tcW w:type="dxa" w:w="1728"/>
            <w:tcMar>
              <w:top w:w="80" w:type="dxa"/>
              <w:bottom w:w="80" w:type="dxa"/>
              <w:left w:w="120" w:type="dxa"/>
              <w:right w:w="120" w:type="dxa"/>
            </w:tcMar>
            <w:shd w:fill="F2F5F9"/>
          </w:tcPr>
          <w:p>
            <w:pPr>
              <w:spacing w:before="40" w:after="40"/>
              <w:jc w:val="right"/>
            </w:pPr>
            <w:r>
              <w:rPr>
                <w:rFonts w:ascii="Times New Roman" w:hAnsi="Times New Roman"/>
                <w:color w:val="1E1E1E"/>
                <w:sz w:val="17"/>
              </w:rPr>
              <w:t>32.45%</w:t>
            </w:r>
          </w:p>
        </w:tc>
        <w:tc>
          <w:tcPr>
            <w:tcW w:type="dxa" w:w="1440"/>
            <w:tcMar>
              <w:top w:w="80" w:type="dxa"/>
              <w:bottom w:w="80" w:type="dxa"/>
              <w:left w:w="120" w:type="dxa"/>
              <w:right w:w="120" w:type="dxa"/>
            </w:tcMar>
            <w:shd w:fill="F2F5F9"/>
          </w:tcPr>
          <w:p>
            <w:pPr>
              <w:spacing w:before="40" w:after="40"/>
              <w:jc w:val="right"/>
            </w:pPr>
            <w:r>
              <w:rPr>
                <w:rFonts w:ascii="Times New Roman" w:hAnsi="Times New Roman"/>
                <w:color w:val="1E1E1E"/>
                <w:sz w:val="17"/>
              </w:rPr>
              <w:t>0.2540</w:t>
            </w:r>
          </w:p>
        </w:tc>
      </w:tr>
      <w:tr>
        <w:tc>
          <w:tcPr>
            <w:tcW w:type="dxa" w:w="2304"/>
            <w:tcMar>
              <w:top w:w="80" w:type="dxa"/>
              <w:bottom w:w="80" w:type="dxa"/>
              <w:left w:w="120" w:type="dxa"/>
              <w:right w:w="120" w:type="dxa"/>
            </w:tcMar>
            <w:shd w:fill="FFFFFF"/>
          </w:tcPr>
          <w:p>
            <w:pPr>
              <w:spacing w:before="40" w:after="40"/>
              <w:jc w:val="left"/>
            </w:pPr>
            <w:r>
              <w:rPr>
                <w:rFonts w:ascii="Times New Roman" w:hAnsi="Times New Roman"/>
                <w:color w:val="1E1E1E"/>
                <w:sz w:val="17"/>
              </w:rPr>
              <w:t>A3_ewma_detector</w:t>
            </w:r>
          </w:p>
        </w:tc>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EWMA Detector</w:t>
            </w:r>
          </w:p>
        </w:tc>
        <w:tc>
          <w:tcPr>
            <w:tcW w:type="dxa" w:w="1728"/>
            <w:tcMar>
              <w:top w:w="80" w:type="dxa"/>
              <w:bottom w:w="80" w:type="dxa"/>
              <w:left w:w="120" w:type="dxa"/>
              <w:right w:w="120" w:type="dxa"/>
            </w:tcMar>
            <w:shd w:fill="FFFFFF"/>
          </w:tcPr>
          <w:p>
            <w:pPr>
              <w:spacing w:before="40" w:after="40"/>
              <w:jc w:val="right"/>
            </w:pPr>
            <w:r>
              <w:rPr>
                <w:rFonts w:ascii="Times New Roman" w:hAnsi="Times New Roman"/>
                <w:color w:val="1E1E1E"/>
                <w:sz w:val="17"/>
              </w:rPr>
              <w:t>31.24%</w:t>
            </w:r>
          </w:p>
        </w:tc>
        <w:tc>
          <w:tcPr>
            <w:tcW w:type="dxa" w:w="1728"/>
            <w:tcMar>
              <w:top w:w="80" w:type="dxa"/>
              <w:bottom w:w="80" w:type="dxa"/>
              <w:left w:w="120" w:type="dxa"/>
              <w:right w:w="120" w:type="dxa"/>
            </w:tcMar>
            <w:shd w:fill="FFFFFF"/>
          </w:tcPr>
          <w:p>
            <w:pPr>
              <w:spacing w:before="40" w:after="40"/>
              <w:jc w:val="right"/>
            </w:pPr>
            <w:r>
              <w:rPr>
                <w:rFonts w:ascii="Times New Roman" w:hAnsi="Times New Roman"/>
                <w:color w:val="1E1E1E"/>
                <w:sz w:val="17"/>
              </w:rPr>
              <w:t>31.24%</w:t>
            </w:r>
          </w:p>
        </w:tc>
        <w:tc>
          <w:tcPr>
            <w:tcW w:type="dxa" w:w="1440"/>
            <w:tcMar>
              <w:top w:w="80" w:type="dxa"/>
              <w:bottom w:w="80" w:type="dxa"/>
              <w:left w:w="120" w:type="dxa"/>
              <w:right w:w="120" w:type="dxa"/>
            </w:tcMar>
            <w:shd w:fill="FFFFFF"/>
          </w:tcPr>
          <w:p>
            <w:pPr>
              <w:spacing w:before="40" w:after="40"/>
              <w:jc w:val="right"/>
            </w:pPr>
            <w:r>
              <w:rPr>
                <w:rFonts w:ascii="Times New Roman" w:hAnsi="Times New Roman"/>
                <w:color w:val="1E1E1E"/>
                <w:sz w:val="17"/>
              </w:rPr>
              <w:t>0.2793</w:t>
            </w:r>
          </w:p>
        </w:tc>
      </w:tr>
      <w:tr>
        <w:tc>
          <w:tcPr>
            <w:tcW w:type="dxa" w:w="2304"/>
            <w:tcMar>
              <w:top w:w="80" w:type="dxa"/>
              <w:bottom w:w="80" w:type="dxa"/>
              <w:left w:w="120" w:type="dxa"/>
              <w:right w:w="120" w:type="dxa"/>
            </w:tcMar>
            <w:shd w:fill="F2F5F9"/>
          </w:tcPr>
          <w:p>
            <w:pPr>
              <w:spacing w:before="40" w:after="40"/>
              <w:jc w:val="left"/>
            </w:pPr>
            <w:r>
              <w:rPr>
                <w:rFonts w:ascii="Times New Roman" w:hAnsi="Times New Roman"/>
                <w:color w:val="1E1E1E"/>
                <w:sz w:val="17"/>
              </w:rPr>
              <w:t>A4_no_detector</w:t>
            </w:r>
          </w:p>
        </w:tc>
        <w:tc>
          <w:tcPr>
            <w:tcW w:type="dxa" w:w="2592"/>
            <w:tcMar>
              <w:top w:w="80" w:type="dxa"/>
              <w:bottom w:w="80" w:type="dxa"/>
              <w:left w:w="120" w:type="dxa"/>
              <w:right w:w="120" w:type="dxa"/>
            </w:tcMar>
            <w:shd w:fill="F2F5F9"/>
          </w:tcPr>
          <w:p>
            <w:pPr>
              <w:spacing w:before="40" w:after="40"/>
              <w:jc w:val="left"/>
            </w:pPr>
            <w:r>
              <w:rPr>
                <w:rFonts w:ascii="Times New Roman" w:hAnsi="Times New Roman"/>
                <w:color w:val="1E1E1E"/>
                <w:sz w:val="17"/>
              </w:rPr>
              <w:t>No Detector</w:t>
            </w:r>
          </w:p>
        </w:tc>
        <w:tc>
          <w:tcPr>
            <w:tcW w:type="dxa" w:w="1728"/>
            <w:tcMar>
              <w:top w:w="80" w:type="dxa"/>
              <w:bottom w:w="80" w:type="dxa"/>
              <w:left w:w="120" w:type="dxa"/>
              <w:right w:w="120" w:type="dxa"/>
            </w:tcMar>
            <w:shd w:fill="F2F5F9"/>
          </w:tcPr>
          <w:p>
            <w:pPr>
              <w:spacing w:before="40" w:after="40"/>
              <w:jc w:val="right"/>
            </w:pPr>
            <w:r>
              <w:rPr>
                <w:rFonts w:ascii="Times New Roman" w:hAnsi="Times New Roman"/>
                <w:color w:val="1E1E1E"/>
                <w:sz w:val="17"/>
              </w:rPr>
              <w:t>31.64%</w:t>
            </w:r>
          </w:p>
        </w:tc>
        <w:tc>
          <w:tcPr>
            <w:tcW w:type="dxa" w:w="1728"/>
            <w:tcMar>
              <w:top w:w="80" w:type="dxa"/>
              <w:bottom w:w="80" w:type="dxa"/>
              <w:left w:w="120" w:type="dxa"/>
              <w:right w:w="120" w:type="dxa"/>
            </w:tcMar>
            <w:shd w:fill="F2F5F9"/>
          </w:tcPr>
          <w:p>
            <w:pPr>
              <w:spacing w:before="40" w:after="40"/>
              <w:jc w:val="right"/>
            </w:pPr>
            <w:r>
              <w:rPr>
                <w:rFonts w:ascii="Times New Roman" w:hAnsi="Times New Roman"/>
                <w:color w:val="1E1E1E"/>
                <w:sz w:val="17"/>
              </w:rPr>
              <w:t>31.64%</w:t>
            </w:r>
          </w:p>
        </w:tc>
        <w:tc>
          <w:tcPr>
            <w:tcW w:type="dxa" w:w="1440"/>
            <w:tcMar>
              <w:top w:w="80" w:type="dxa"/>
              <w:bottom w:w="80" w:type="dxa"/>
              <w:left w:w="120" w:type="dxa"/>
              <w:right w:w="120" w:type="dxa"/>
            </w:tcMar>
            <w:shd w:fill="F2F5F9"/>
          </w:tcPr>
          <w:p>
            <w:pPr>
              <w:spacing w:before="40" w:after="40"/>
              <w:jc w:val="right"/>
            </w:pPr>
            <w:r>
              <w:rPr>
                <w:rFonts w:ascii="Times New Roman" w:hAnsi="Times New Roman"/>
                <w:color w:val="1E1E1E"/>
                <w:sz w:val="17"/>
              </w:rPr>
              <w:t>0.3153</w:t>
            </w:r>
          </w:p>
        </w:tc>
      </w:tr>
      <w:tr>
        <w:tc>
          <w:tcPr>
            <w:tcW w:type="dxa" w:w="2304"/>
            <w:tcMar>
              <w:top w:w="80" w:type="dxa"/>
              <w:bottom w:w="80" w:type="dxa"/>
              <w:left w:w="120" w:type="dxa"/>
              <w:right w:w="120" w:type="dxa"/>
            </w:tcMar>
            <w:shd w:fill="FFFFFF"/>
          </w:tcPr>
          <w:p>
            <w:pPr>
              <w:spacing w:before="40" w:after="40"/>
              <w:jc w:val="left"/>
            </w:pPr>
            <w:r>
              <w:rPr>
                <w:rFonts w:ascii="Times New Roman" w:hAnsi="Times New Roman"/>
                <w:color w:val="1E1E1E"/>
                <w:sz w:val="17"/>
              </w:rPr>
              <w:t>B1_robust_mad</w:t>
            </w:r>
          </w:p>
        </w:tc>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Robust MAD Normalization</w:t>
            </w:r>
          </w:p>
        </w:tc>
        <w:tc>
          <w:tcPr>
            <w:tcW w:type="dxa" w:w="1728"/>
            <w:tcMar>
              <w:top w:w="80" w:type="dxa"/>
              <w:bottom w:w="80" w:type="dxa"/>
              <w:left w:w="120" w:type="dxa"/>
              <w:right w:w="120" w:type="dxa"/>
            </w:tcMar>
            <w:shd w:fill="FFFFFF"/>
          </w:tcPr>
          <w:p>
            <w:pPr>
              <w:spacing w:before="40" w:after="40"/>
              <w:jc w:val="right"/>
            </w:pPr>
            <w:r>
              <w:rPr>
                <w:rFonts w:ascii="Times New Roman" w:hAnsi="Times New Roman"/>
                <w:color w:val="1E1E1E"/>
                <w:sz w:val="17"/>
              </w:rPr>
              <w:t>31.98%</w:t>
            </w:r>
          </w:p>
        </w:tc>
        <w:tc>
          <w:tcPr>
            <w:tcW w:type="dxa" w:w="1728"/>
            <w:tcMar>
              <w:top w:w="80" w:type="dxa"/>
              <w:bottom w:w="80" w:type="dxa"/>
              <w:left w:w="120" w:type="dxa"/>
              <w:right w:w="120" w:type="dxa"/>
            </w:tcMar>
            <w:shd w:fill="FFFFFF"/>
          </w:tcPr>
          <w:p>
            <w:pPr>
              <w:spacing w:before="40" w:after="40"/>
              <w:jc w:val="right"/>
            </w:pPr>
            <w:r>
              <w:rPr>
                <w:rFonts w:ascii="Times New Roman" w:hAnsi="Times New Roman"/>
                <w:color w:val="1E1E1E"/>
                <w:sz w:val="17"/>
              </w:rPr>
              <w:t>31.98%</w:t>
            </w:r>
          </w:p>
        </w:tc>
        <w:tc>
          <w:tcPr>
            <w:tcW w:type="dxa" w:w="1440"/>
            <w:tcMar>
              <w:top w:w="80" w:type="dxa"/>
              <w:bottom w:w="80" w:type="dxa"/>
              <w:left w:w="120" w:type="dxa"/>
              <w:right w:w="120" w:type="dxa"/>
            </w:tcMar>
            <w:shd w:fill="FFFFFF"/>
          </w:tcPr>
          <w:p>
            <w:pPr>
              <w:spacing w:before="40" w:after="40"/>
              <w:jc w:val="right"/>
            </w:pPr>
            <w:r>
              <w:rPr>
                <w:rFonts w:ascii="Times New Roman" w:hAnsi="Times New Roman"/>
                <w:color w:val="1E1E1E"/>
                <w:sz w:val="17"/>
              </w:rPr>
              <w:t>0.2780</w:t>
            </w:r>
          </w:p>
        </w:tc>
      </w:tr>
      <w:tr>
        <w:tc>
          <w:tcPr>
            <w:tcW w:type="dxa" w:w="2304"/>
            <w:tcMar>
              <w:top w:w="80" w:type="dxa"/>
              <w:bottom w:w="80" w:type="dxa"/>
              <w:left w:w="120" w:type="dxa"/>
              <w:right w:w="120" w:type="dxa"/>
            </w:tcMar>
            <w:shd w:fill="F2F5F9"/>
          </w:tcPr>
          <w:p>
            <w:pPr>
              <w:spacing w:before="40" w:after="40"/>
              <w:jc w:val="left"/>
            </w:pPr>
            <w:r>
              <w:rPr>
                <w:rFonts w:ascii="Times New Roman" w:hAnsi="Times New Roman"/>
                <w:color w:val="1E1E1E"/>
                <w:sz w:val="17"/>
              </w:rPr>
              <w:t>B2_zscore_norm</w:t>
            </w:r>
          </w:p>
        </w:tc>
        <w:tc>
          <w:tcPr>
            <w:tcW w:type="dxa" w:w="2592"/>
            <w:tcMar>
              <w:top w:w="80" w:type="dxa"/>
              <w:bottom w:w="80" w:type="dxa"/>
              <w:left w:w="120" w:type="dxa"/>
              <w:right w:w="120" w:type="dxa"/>
            </w:tcMar>
            <w:shd w:fill="F2F5F9"/>
          </w:tcPr>
          <w:p>
            <w:pPr>
              <w:spacing w:before="40" w:after="40"/>
              <w:jc w:val="left"/>
            </w:pPr>
            <w:r>
              <w:rPr>
                <w:rFonts w:ascii="Times New Roman" w:hAnsi="Times New Roman"/>
                <w:color w:val="1E1E1E"/>
                <w:sz w:val="17"/>
              </w:rPr>
              <w:t>Standard Z-Score</w:t>
            </w:r>
          </w:p>
        </w:tc>
        <w:tc>
          <w:tcPr>
            <w:tcW w:type="dxa" w:w="1728"/>
            <w:tcMar>
              <w:top w:w="80" w:type="dxa"/>
              <w:bottom w:w="80" w:type="dxa"/>
              <w:left w:w="120" w:type="dxa"/>
              <w:right w:w="120" w:type="dxa"/>
            </w:tcMar>
            <w:shd w:fill="F2F5F9"/>
          </w:tcPr>
          <w:p>
            <w:pPr>
              <w:spacing w:before="40" w:after="40"/>
              <w:jc w:val="right"/>
            </w:pPr>
            <w:r>
              <w:rPr>
                <w:rFonts w:ascii="Times New Roman" w:hAnsi="Times New Roman"/>
                <w:color w:val="1E1E1E"/>
                <w:sz w:val="17"/>
              </w:rPr>
              <w:t>32.05%</w:t>
            </w:r>
          </w:p>
        </w:tc>
        <w:tc>
          <w:tcPr>
            <w:tcW w:type="dxa" w:w="1728"/>
            <w:tcMar>
              <w:top w:w="80" w:type="dxa"/>
              <w:bottom w:w="80" w:type="dxa"/>
              <w:left w:w="120" w:type="dxa"/>
              <w:right w:w="120" w:type="dxa"/>
            </w:tcMar>
            <w:shd w:fill="F2F5F9"/>
          </w:tcPr>
          <w:p>
            <w:pPr>
              <w:spacing w:before="40" w:after="40"/>
              <w:jc w:val="right"/>
            </w:pPr>
            <w:r>
              <w:rPr>
                <w:rFonts w:ascii="Times New Roman" w:hAnsi="Times New Roman"/>
                <w:color w:val="1E1E1E"/>
                <w:sz w:val="17"/>
              </w:rPr>
              <w:t>32.05%</w:t>
            </w:r>
          </w:p>
        </w:tc>
        <w:tc>
          <w:tcPr>
            <w:tcW w:type="dxa" w:w="1440"/>
            <w:tcMar>
              <w:top w:w="80" w:type="dxa"/>
              <w:bottom w:w="80" w:type="dxa"/>
              <w:left w:w="120" w:type="dxa"/>
              <w:right w:w="120" w:type="dxa"/>
            </w:tcMar>
            <w:shd w:fill="F2F5F9"/>
          </w:tcPr>
          <w:p>
            <w:pPr>
              <w:spacing w:before="40" w:after="40"/>
              <w:jc w:val="right"/>
            </w:pPr>
            <w:r>
              <w:rPr>
                <w:rFonts w:ascii="Times New Roman" w:hAnsi="Times New Roman"/>
                <w:color w:val="1E1E1E"/>
                <w:sz w:val="17"/>
              </w:rPr>
              <w:t>0.2900</w:t>
            </w:r>
          </w:p>
        </w:tc>
      </w:tr>
      <w:tr>
        <w:tc>
          <w:tcPr>
            <w:tcW w:type="dxa" w:w="2304"/>
            <w:tcMar>
              <w:top w:w="80" w:type="dxa"/>
              <w:bottom w:w="80" w:type="dxa"/>
              <w:left w:w="120" w:type="dxa"/>
              <w:right w:w="120" w:type="dxa"/>
            </w:tcMar>
            <w:shd w:fill="FFFFFF"/>
          </w:tcPr>
          <w:p>
            <w:pPr>
              <w:spacing w:before="40" w:after="40"/>
              <w:jc w:val="left"/>
            </w:pPr>
            <w:r>
              <w:rPr>
                <w:rFonts w:ascii="Times New Roman" w:hAnsi="Times New Roman"/>
                <w:color w:val="1E1E1E"/>
                <w:sz w:val="17"/>
              </w:rPr>
              <w:t>B3_minmax_norm</w:t>
            </w:r>
          </w:p>
        </w:tc>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Min-Max Normalization</w:t>
            </w:r>
          </w:p>
        </w:tc>
        <w:tc>
          <w:tcPr>
            <w:tcW w:type="dxa" w:w="1728"/>
            <w:tcMar>
              <w:top w:w="80" w:type="dxa"/>
              <w:bottom w:w="80" w:type="dxa"/>
              <w:left w:w="120" w:type="dxa"/>
              <w:right w:w="120" w:type="dxa"/>
            </w:tcMar>
            <w:shd w:fill="FFFFFF"/>
          </w:tcPr>
          <w:p>
            <w:pPr>
              <w:spacing w:before="40" w:after="40"/>
              <w:jc w:val="right"/>
            </w:pPr>
            <w:r>
              <w:rPr>
                <w:rFonts w:ascii="Times New Roman" w:hAnsi="Times New Roman"/>
                <w:color w:val="1E1E1E"/>
                <w:sz w:val="17"/>
              </w:rPr>
              <w:t>29.81%</w:t>
            </w:r>
          </w:p>
        </w:tc>
        <w:tc>
          <w:tcPr>
            <w:tcW w:type="dxa" w:w="1728"/>
            <w:tcMar>
              <w:top w:w="80" w:type="dxa"/>
              <w:bottom w:w="80" w:type="dxa"/>
              <w:left w:w="120" w:type="dxa"/>
              <w:right w:w="120" w:type="dxa"/>
            </w:tcMar>
            <w:shd w:fill="FFFFFF"/>
          </w:tcPr>
          <w:p>
            <w:pPr>
              <w:spacing w:before="40" w:after="40"/>
              <w:jc w:val="right"/>
            </w:pPr>
            <w:r>
              <w:rPr>
                <w:rFonts w:ascii="Times New Roman" w:hAnsi="Times New Roman"/>
                <w:color w:val="1E1E1E"/>
                <w:sz w:val="17"/>
              </w:rPr>
              <w:t>29.04%</w:t>
            </w:r>
          </w:p>
        </w:tc>
        <w:tc>
          <w:tcPr>
            <w:tcW w:type="dxa" w:w="1440"/>
            <w:tcMar>
              <w:top w:w="80" w:type="dxa"/>
              <w:bottom w:w="80" w:type="dxa"/>
              <w:left w:w="120" w:type="dxa"/>
              <w:right w:w="120" w:type="dxa"/>
            </w:tcMar>
            <w:shd w:fill="FFFFFF"/>
          </w:tcPr>
          <w:p>
            <w:pPr>
              <w:spacing w:before="40" w:after="40"/>
              <w:jc w:val="right"/>
            </w:pPr>
            <w:r>
              <w:rPr>
                <w:rFonts w:ascii="Times New Roman" w:hAnsi="Times New Roman"/>
                <w:color w:val="1E1E1E"/>
                <w:sz w:val="17"/>
              </w:rPr>
              <w:t>0.2167</w:t>
            </w:r>
          </w:p>
        </w:tc>
      </w:tr>
      <w:tr>
        <w:tc>
          <w:tcPr>
            <w:tcW w:type="dxa" w:w="2304"/>
            <w:tcMar>
              <w:top w:w="80" w:type="dxa"/>
              <w:bottom w:w="80" w:type="dxa"/>
              <w:left w:w="120" w:type="dxa"/>
              <w:right w:w="120" w:type="dxa"/>
            </w:tcMar>
            <w:shd w:fill="F2F5F9"/>
          </w:tcPr>
          <w:p>
            <w:pPr>
              <w:spacing w:before="40" w:after="40"/>
              <w:jc w:val="left"/>
            </w:pPr>
            <w:r>
              <w:rPr>
                <w:rFonts w:ascii="Times New Roman" w:hAnsi="Times New Roman"/>
                <w:color w:val="1E1E1E"/>
                <w:sz w:val="17"/>
              </w:rPr>
              <w:t>B4_no_norm</w:t>
            </w:r>
          </w:p>
        </w:tc>
        <w:tc>
          <w:tcPr>
            <w:tcW w:type="dxa" w:w="2592"/>
            <w:tcMar>
              <w:top w:w="80" w:type="dxa"/>
              <w:bottom w:w="80" w:type="dxa"/>
              <w:left w:w="120" w:type="dxa"/>
              <w:right w:w="120" w:type="dxa"/>
            </w:tcMar>
            <w:shd w:fill="F2F5F9"/>
          </w:tcPr>
          <w:p>
            <w:pPr>
              <w:spacing w:before="40" w:after="40"/>
              <w:jc w:val="left"/>
            </w:pPr>
            <w:r>
              <w:rPr>
                <w:rFonts w:ascii="Times New Roman" w:hAnsi="Times New Roman"/>
                <w:color w:val="1E1E1E"/>
                <w:sz w:val="17"/>
              </w:rPr>
              <w:t>No Normalization</w:t>
            </w:r>
          </w:p>
        </w:tc>
        <w:tc>
          <w:tcPr>
            <w:tcW w:type="dxa" w:w="1728"/>
            <w:tcMar>
              <w:top w:w="80" w:type="dxa"/>
              <w:bottom w:w="80" w:type="dxa"/>
              <w:left w:w="120" w:type="dxa"/>
              <w:right w:w="120" w:type="dxa"/>
            </w:tcMar>
            <w:shd w:fill="F2F5F9"/>
          </w:tcPr>
          <w:p>
            <w:pPr>
              <w:spacing w:before="40" w:after="40"/>
              <w:jc w:val="right"/>
            </w:pPr>
            <w:r>
              <w:rPr>
                <w:rFonts w:ascii="Times New Roman" w:hAnsi="Times New Roman"/>
                <w:color w:val="1E1E1E"/>
                <w:sz w:val="17"/>
              </w:rPr>
              <w:t>29.71%</w:t>
            </w:r>
          </w:p>
        </w:tc>
        <w:tc>
          <w:tcPr>
            <w:tcW w:type="dxa" w:w="1728"/>
            <w:tcMar>
              <w:top w:w="80" w:type="dxa"/>
              <w:bottom w:w="80" w:type="dxa"/>
              <w:left w:w="120" w:type="dxa"/>
              <w:right w:w="120" w:type="dxa"/>
            </w:tcMar>
            <w:shd w:fill="F2F5F9"/>
          </w:tcPr>
          <w:p>
            <w:pPr>
              <w:spacing w:before="40" w:after="40"/>
              <w:jc w:val="right"/>
            </w:pPr>
            <w:r>
              <w:rPr>
                <w:rFonts w:ascii="Times New Roman" w:hAnsi="Times New Roman"/>
                <w:color w:val="1E1E1E"/>
                <w:sz w:val="17"/>
              </w:rPr>
              <w:t>29.71%</w:t>
            </w:r>
          </w:p>
        </w:tc>
        <w:tc>
          <w:tcPr>
            <w:tcW w:type="dxa" w:w="1440"/>
            <w:tcMar>
              <w:top w:w="80" w:type="dxa"/>
              <w:bottom w:w="80" w:type="dxa"/>
              <w:left w:w="120" w:type="dxa"/>
              <w:right w:w="120" w:type="dxa"/>
            </w:tcMar>
            <w:shd w:fill="F2F5F9"/>
          </w:tcPr>
          <w:p>
            <w:pPr>
              <w:spacing w:before="40" w:after="40"/>
              <w:jc w:val="right"/>
            </w:pPr>
            <w:r>
              <w:rPr>
                <w:rFonts w:ascii="Times New Roman" w:hAnsi="Times New Roman"/>
                <w:color w:val="1E1E1E"/>
                <w:sz w:val="17"/>
              </w:rPr>
              <w:t>0.2300</w:t>
            </w:r>
          </w:p>
        </w:tc>
      </w:tr>
      <w:tr>
        <w:tc>
          <w:tcPr>
            <w:tcW w:type="dxa" w:w="2304"/>
            <w:tcMar>
              <w:top w:w="80" w:type="dxa"/>
              <w:bottom w:w="80" w:type="dxa"/>
              <w:left w:w="120" w:type="dxa"/>
              <w:right w:w="120" w:type="dxa"/>
            </w:tcMar>
            <w:shd w:fill="FFFFFF"/>
          </w:tcPr>
          <w:p>
            <w:pPr>
              <w:spacing w:before="40" w:after="40"/>
              <w:jc w:val="left"/>
            </w:pPr>
            <w:r>
              <w:rPr>
                <w:rFonts w:ascii="Times New Roman" w:hAnsi="Times New Roman"/>
                <w:color w:val="1E1E1E"/>
                <w:sz w:val="17"/>
              </w:rPr>
              <w:t>C1_no_uncertainty</w:t>
            </w:r>
          </w:p>
        </w:tc>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No Uncertainty Bonus</w:t>
            </w:r>
          </w:p>
        </w:tc>
        <w:tc>
          <w:tcPr>
            <w:tcW w:type="dxa" w:w="1728"/>
            <w:tcMar>
              <w:top w:w="80" w:type="dxa"/>
              <w:bottom w:w="80" w:type="dxa"/>
              <w:left w:w="120" w:type="dxa"/>
              <w:right w:w="120" w:type="dxa"/>
            </w:tcMar>
            <w:shd w:fill="FFFFFF"/>
          </w:tcPr>
          <w:p>
            <w:pPr>
              <w:spacing w:before="40" w:after="40"/>
              <w:jc w:val="right"/>
            </w:pPr>
            <w:r>
              <w:rPr>
                <w:rFonts w:ascii="Times New Roman" w:hAnsi="Times New Roman"/>
                <w:color w:val="1E1E1E"/>
                <w:sz w:val="17"/>
              </w:rPr>
              <w:t>29.66%</w:t>
            </w:r>
          </w:p>
        </w:tc>
        <w:tc>
          <w:tcPr>
            <w:tcW w:type="dxa" w:w="1728"/>
            <w:tcMar>
              <w:top w:w="80" w:type="dxa"/>
              <w:bottom w:w="80" w:type="dxa"/>
              <w:left w:w="120" w:type="dxa"/>
              <w:right w:w="120" w:type="dxa"/>
            </w:tcMar>
            <w:shd w:fill="FFFFFF"/>
          </w:tcPr>
          <w:p>
            <w:pPr>
              <w:spacing w:before="40" w:after="40"/>
              <w:jc w:val="right"/>
            </w:pPr>
            <w:r>
              <w:rPr>
                <w:rFonts w:ascii="Times New Roman" w:hAnsi="Times New Roman"/>
                <w:color w:val="1E1E1E"/>
                <w:sz w:val="17"/>
              </w:rPr>
              <w:t>29.20%</w:t>
            </w:r>
          </w:p>
        </w:tc>
        <w:tc>
          <w:tcPr>
            <w:tcW w:type="dxa" w:w="1440"/>
            <w:tcMar>
              <w:top w:w="80" w:type="dxa"/>
              <w:bottom w:w="80" w:type="dxa"/>
              <w:left w:w="120" w:type="dxa"/>
              <w:right w:w="120" w:type="dxa"/>
            </w:tcMar>
            <w:shd w:fill="FFFFFF"/>
          </w:tcPr>
          <w:p>
            <w:pPr>
              <w:spacing w:before="40" w:after="40"/>
              <w:jc w:val="right"/>
            </w:pPr>
            <w:r>
              <w:rPr>
                <w:rFonts w:ascii="Times New Roman" w:hAnsi="Times New Roman"/>
                <w:color w:val="1E1E1E"/>
                <w:sz w:val="17"/>
              </w:rPr>
              <w:t>0.2780</w:t>
            </w:r>
          </w:p>
        </w:tc>
      </w:tr>
      <w:tr>
        <w:tc>
          <w:tcPr>
            <w:tcW w:type="dxa" w:w="2304"/>
            <w:tcMar>
              <w:top w:w="80" w:type="dxa"/>
              <w:bottom w:w="80" w:type="dxa"/>
              <w:left w:w="120" w:type="dxa"/>
              <w:right w:w="120" w:type="dxa"/>
            </w:tcMar>
            <w:shd w:fill="F2F5F9"/>
          </w:tcPr>
          <w:p>
            <w:pPr>
              <w:spacing w:before="40" w:after="40"/>
              <w:jc w:val="left"/>
            </w:pPr>
            <w:r>
              <w:rPr>
                <w:rFonts w:ascii="Times New Roman" w:hAnsi="Times New Roman"/>
                <w:color w:val="1E1E1E"/>
                <w:sz w:val="17"/>
              </w:rPr>
              <w:t>C2_no_change_bonus</w:t>
            </w:r>
          </w:p>
        </w:tc>
        <w:tc>
          <w:tcPr>
            <w:tcW w:type="dxa" w:w="2592"/>
            <w:tcMar>
              <w:top w:w="80" w:type="dxa"/>
              <w:bottom w:w="80" w:type="dxa"/>
              <w:left w:w="120" w:type="dxa"/>
              <w:right w:w="120" w:type="dxa"/>
            </w:tcMar>
            <w:shd w:fill="F2F5F9"/>
          </w:tcPr>
          <w:p>
            <w:pPr>
              <w:spacing w:before="40" w:after="40"/>
              <w:jc w:val="left"/>
            </w:pPr>
            <w:r>
              <w:rPr>
                <w:rFonts w:ascii="Times New Roman" w:hAnsi="Times New Roman"/>
                <w:color w:val="1E1E1E"/>
                <w:sz w:val="17"/>
              </w:rPr>
              <w:t>No Change Bonus</w:t>
            </w:r>
          </w:p>
        </w:tc>
        <w:tc>
          <w:tcPr>
            <w:tcW w:type="dxa" w:w="1728"/>
            <w:tcMar>
              <w:top w:w="80" w:type="dxa"/>
              <w:bottom w:w="80" w:type="dxa"/>
              <w:left w:w="120" w:type="dxa"/>
              <w:right w:w="120" w:type="dxa"/>
            </w:tcMar>
            <w:shd w:fill="F2F5F9"/>
          </w:tcPr>
          <w:p>
            <w:pPr>
              <w:spacing w:before="40" w:after="40"/>
              <w:jc w:val="right"/>
            </w:pPr>
            <w:r>
              <w:rPr>
                <w:rFonts w:ascii="Times New Roman" w:hAnsi="Times New Roman"/>
                <w:color w:val="1E1E1E"/>
                <w:sz w:val="17"/>
              </w:rPr>
              <w:t>31.98%</w:t>
            </w:r>
          </w:p>
        </w:tc>
        <w:tc>
          <w:tcPr>
            <w:tcW w:type="dxa" w:w="1728"/>
            <w:tcMar>
              <w:top w:w="80" w:type="dxa"/>
              <w:bottom w:w="80" w:type="dxa"/>
              <w:left w:w="120" w:type="dxa"/>
              <w:right w:w="120" w:type="dxa"/>
            </w:tcMar>
            <w:shd w:fill="F2F5F9"/>
          </w:tcPr>
          <w:p>
            <w:pPr>
              <w:spacing w:before="40" w:after="40"/>
              <w:jc w:val="right"/>
            </w:pPr>
            <w:r>
              <w:rPr>
                <w:rFonts w:ascii="Times New Roman" w:hAnsi="Times New Roman"/>
                <w:color w:val="1E1E1E"/>
                <w:sz w:val="17"/>
              </w:rPr>
              <w:t>31.98%</w:t>
            </w:r>
          </w:p>
        </w:tc>
        <w:tc>
          <w:tcPr>
            <w:tcW w:type="dxa" w:w="1440"/>
            <w:tcMar>
              <w:top w:w="80" w:type="dxa"/>
              <w:bottom w:w="80" w:type="dxa"/>
              <w:left w:w="120" w:type="dxa"/>
              <w:right w:w="120" w:type="dxa"/>
            </w:tcMar>
            <w:shd w:fill="F2F5F9"/>
          </w:tcPr>
          <w:p>
            <w:pPr>
              <w:spacing w:before="40" w:after="40"/>
              <w:jc w:val="right"/>
            </w:pPr>
            <w:r>
              <w:rPr>
                <w:rFonts w:ascii="Times New Roman" w:hAnsi="Times New Roman"/>
                <w:color w:val="1E1E1E"/>
                <w:sz w:val="17"/>
              </w:rPr>
              <w:t>0.2780</w:t>
            </w:r>
          </w:p>
        </w:tc>
      </w:tr>
    </w:tbl>
    <w:p>
      <w:pPr>
        <w:spacing w:before="40" w:after="160"/>
        <w:jc w:val="center"/>
      </w:pPr>
      <w:r>
        <w:rPr>
          <w:rFonts w:ascii="Times New Roman" w:hAnsi="Times New Roman"/>
          <w:i/>
          <w:sz w:val="17"/>
        </w:rPr>
        <w:t>Table 4: Comprehensive 10-condition ablation matrix on CIFAR-10.</w:t>
      </w:r>
    </w:p>
    <w:p>
      <w:pPr>
        <w:spacing w:before="0" w:after="80" w:line="276" w:lineRule="auto"/>
        <w:jc w:val="both"/>
      </w:pPr>
      <w:r>
        <w:rPr>
          <w:rFonts w:ascii="Times New Roman" w:hAnsi="Times New Roman"/>
          <w:b w:val="0"/>
          <w:i w:val="0"/>
        </w:rPr>
        <w:t>Table 4 confirms the diagnosis. Condition A1 (CUSUM) and Condition A2 (Page-Hinckley) produce identical final accuracy (32.45%) and identical Gini inequality (0.2540). Condition C2 disables the change detection bonus entirely and achieves comparable accuracy (31.98%). The change detection signal does not influence downstream selection decisions because staleness and uncertainty terms dominate exploration scoring. Note that condition A1 (32.45%) and condition B1 (31.98%) reflect different hyperparameter search configurations: A1 utilized five warmup rounds with wider exploration (epsilon in [0.08, 0.35]), whereas B1 adhered to default baseline settings (ten warmup rounds, epsilon in [0.05, 0.30]).</w:t>
      </w:r>
    </w:p>
    <w:p>
      <w:pPr>
        <w:spacing w:before="0" w:after="80" w:line="276" w:lineRule="auto"/>
        <w:jc w:val="both"/>
      </w:pPr>
      <w:r>
        <w:rPr>
          <w:rFonts w:ascii="Times New Roman" w:hAnsi="Times New Roman"/>
          <w:b w:val="0"/>
          <w:i w:val="0"/>
        </w:rPr>
        <w:t>We also evaluated a direct remediation where the change suspicion weight in exploration scoring was boosted from 0.20 to 1.00. Even with prioritized exploration for flagged devices, the fundamental delay inflation bound persisted: the server still requires sufficient observation opportunities to detect the change initially.</w:t>
      </w:r>
    </w:p>
    <w:p>
      <w:pPr>
        <w:spacing w:before="0" w:after="80" w:line="276" w:lineRule="auto"/>
        <w:jc w:val="both"/>
      </w:pPr>
      <w:r>
        <w:rPr>
          <w:rFonts w:ascii="Times New Roman" w:hAnsi="Times New Roman"/>
          <w:b w:val="0"/>
          <w:i w:val="0"/>
        </w:rPr>
        <w:t>Table 5 checks robustness across non-IID Dirichlet concentration values alpha in {0.1, 0.5, 1.0} and drift fractions. Under severe non-IID conditions (alpha = 0.1), both random selection and FedQual-CPX reach ten percent accuracy, showing that severe label skew limits all policies equally.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F497D"/>
            <w:tcMar>
              <w:top w:w="100" w:type="dxa"/>
              <w:bottom w:w="100" w:type="dxa"/>
              <w:left w:w="150" w:type="dxa"/>
              <w:right w:w="150" w:type="dxa"/>
            </w:tcMar>
          </w:tcPr>
          <w:p>
            <w:pPr>
              <w:jc w:val="left"/>
            </w:pPr>
            <w:r>
              <w:rPr>
                <w:rFonts w:ascii="Times New Roman" w:hAnsi="Times New Roman"/>
                <w:b/>
                <w:color w:val="FFFFFF"/>
                <w:sz w:val="17"/>
              </w:rPr>
              <w:t>Parameter Setting</w:t>
            </w:r>
          </w:p>
        </w:tc>
        <w:tc>
          <w:tcPr>
            <w:tcW w:type="dxa" w:w="2016"/>
            <w:shd w:fill="1F497D"/>
            <w:tcMar>
              <w:top w:w="100" w:type="dxa"/>
              <w:bottom w:w="100" w:type="dxa"/>
              <w:left w:w="150" w:type="dxa"/>
              <w:right w:w="150" w:type="dxa"/>
            </w:tcMar>
          </w:tcPr>
          <w:p>
            <w:pPr>
              <w:jc w:val="left"/>
            </w:pPr>
            <w:r>
              <w:rPr>
                <w:rFonts w:ascii="Times New Roman" w:hAnsi="Times New Roman"/>
                <w:b/>
                <w:color w:val="FFFFFF"/>
                <w:sz w:val="17"/>
              </w:rPr>
              <w:t>Policy</w:t>
            </w:r>
          </w:p>
        </w:tc>
        <w:tc>
          <w:tcPr>
            <w:tcW w:type="dxa" w:w="2016"/>
            <w:shd w:fill="1F497D"/>
            <w:tcMar>
              <w:top w:w="100" w:type="dxa"/>
              <w:bottom w:w="100" w:type="dxa"/>
              <w:left w:w="150" w:type="dxa"/>
              <w:right w:w="150" w:type="dxa"/>
            </w:tcMar>
          </w:tcPr>
          <w:p>
            <w:pPr>
              <w:jc w:val="right"/>
            </w:pPr>
            <w:r>
              <w:rPr>
                <w:rFonts w:ascii="Times New Roman" w:hAnsi="Times New Roman"/>
                <w:b/>
                <w:color w:val="FFFFFF"/>
                <w:sz w:val="17"/>
              </w:rPr>
              <w:t>Final Acc</w:t>
            </w:r>
          </w:p>
        </w:tc>
        <w:tc>
          <w:tcPr>
            <w:tcW w:type="dxa" w:w="2016"/>
            <w:shd w:fill="1F497D"/>
            <w:tcMar>
              <w:top w:w="100" w:type="dxa"/>
              <w:bottom w:w="100" w:type="dxa"/>
              <w:left w:w="150" w:type="dxa"/>
              <w:right w:w="150" w:type="dxa"/>
            </w:tcMar>
          </w:tcPr>
          <w:p>
            <w:pPr>
              <w:jc w:val="right"/>
            </w:pPr>
            <w:r>
              <w:rPr>
                <w:rFonts w:ascii="Times New Roman" w:hAnsi="Times New Roman"/>
                <w:b/>
                <w:color w:val="FFFFFF"/>
                <w:sz w:val="17"/>
              </w:rPr>
              <w:t>Gini</w:t>
            </w:r>
          </w:p>
        </w:tc>
        <w:tc>
          <w:tcPr>
            <w:tcW w:type="dxa" w:w="2016"/>
            <w:shd w:fill="1F497D"/>
            <w:tcMar>
              <w:top w:w="100" w:type="dxa"/>
              <w:bottom w:w="100" w:type="dxa"/>
              <w:left w:w="150" w:type="dxa"/>
              <w:right w:w="150" w:type="dxa"/>
            </w:tcMar>
          </w:tcPr>
          <w:p>
            <w:pPr>
              <w:jc w:val="right"/>
            </w:pPr>
            <w:r>
              <w:rPr>
                <w:rFonts w:ascii="Times New Roman" w:hAnsi="Times New Roman"/>
                <w:b/>
                <w:color w:val="FFFFFF"/>
                <w:sz w:val="17"/>
              </w:rPr>
              <w:t>Coverage</w:t>
            </w:r>
          </w:p>
        </w:tc>
      </w:tr>
      <w:tr>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Dirichlet alpha = 0.1</w:t>
            </w:r>
          </w:p>
        </w:tc>
        <w:tc>
          <w:tcPr>
            <w:tcW w:type="dxa" w:w="2160"/>
            <w:tcMar>
              <w:top w:w="80" w:type="dxa"/>
              <w:bottom w:w="80" w:type="dxa"/>
              <w:left w:w="120" w:type="dxa"/>
              <w:right w:w="120" w:type="dxa"/>
            </w:tcMar>
            <w:shd w:fill="FFFFFF"/>
          </w:tcPr>
          <w:p>
            <w:pPr>
              <w:spacing w:before="40" w:after="40"/>
              <w:jc w:val="left"/>
            </w:pPr>
            <w:r>
              <w:rPr>
                <w:rFonts w:ascii="Times New Roman" w:hAnsi="Times New Roman"/>
                <w:color w:val="1E1E1E"/>
                <w:sz w:val="17"/>
              </w:rPr>
              <w:t>Random / FedAvg</w:t>
            </w:r>
          </w:p>
        </w:tc>
        <w:tc>
          <w:tcPr>
            <w:tcW w:type="dxa" w:w="1728"/>
            <w:tcMar>
              <w:top w:w="80" w:type="dxa"/>
              <w:bottom w:w="80" w:type="dxa"/>
              <w:left w:w="120" w:type="dxa"/>
              <w:right w:w="120" w:type="dxa"/>
            </w:tcMar>
            <w:shd w:fill="FFFFFF"/>
          </w:tcPr>
          <w:p>
            <w:pPr>
              <w:spacing w:before="40" w:after="40"/>
              <w:jc w:val="right"/>
            </w:pPr>
            <w:r>
              <w:rPr>
                <w:rFonts w:ascii="Times New Roman" w:hAnsi="Times New Roman"/>
                <w:color w:val="1E1E1E"/>
                <w:sz w:val="17"/>
              </w:rPr>
              <w:t>10.00%</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0.2391</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100.0%</w:t>
            </w:r>
          </w:p>
        </w:tc>
      </w:tr>
      <w:tr>
        <w:tc>
          <w:tcPr>
            <w:tcW w:type="dxa" w:w="2592"/>
            <w:tcMar>
              <w:top w:w="80" w:type="dxa"/>
              <w:bottom w:w="80" w:type="dxa"/>
              <w:left w:w="120" w:type="dxa"/>
              <w:right w:w="120" w:type="dxa"/>
            </w:tcMar>
            <w:shd w:fill="F2F5F9"/>
          </w:tcPr>
          <w:p>
            <w:pPr>
              <w:spacing w:before="40" w:after="40"/>
              <w:jc w:val="left"/>
            </w:pPr>
            <w:r>
              <w:rPr>
                <w:rFonts w:ascii="Times New Roman" w:hAnsi="Times New Roman"/>
                <w:color w:val="1E1E1E"/>
                <w:sz w:val="17"/>
              </w:rPr>
              <w:t>Dirichlet alpha = 0.1</w:t>
            </w:r>
          </w:p>
        </w:tc>
        <w:tc>
          <w:tcPr>
            <w:tcW w:type="dxa" w:w="2160"/>
            <w:tcMar>
              <w:top w:w="80" w:type="dxa"/>
              <w:bottom w:w="80" w:type="dxa"/>
              <w:left w:w="120" w:type="dxa"/>
              <w:right w:w="120" w:type="dxa"/>
            </w:tcMar>
            <w:shd w:fill="F2F5F9"/>
          </w:tcPr>
          <w:p>
            <w:pPr>
              <w:spacing w:before="40" w:after="40"/>
              <w:jc w:val="left"/>
            </w:pPr>
            <w:r>
              <w:rPr>
                <w:rFonts w:ascii="Times New Roman" w:hAnsi="Times New Roman"/>
                <w:color w:val="1E1E1E"/>
                <w:sz w:val="17"/>
              </w:rPr>
              <w:t>FedQual-CPX</w:t>
            </w:r>
          </w:p>
        </w:tc>
        <w:tc>
          <w:tcPr>
            <w:tcW w:type="dxa" w:w="1728"/>
            <w:tcMar>
              <w:top w:w="80" w:type="dxa"/>
              <w:bottom w:w="80" w:type="dxa"/>
              <w:left w:w="120" w:type="dxa"/>
              <w:right w:w="120" w:type="dxa"/>
            </w:tcMar>
            <w:shd w:fill="F2F5F9"/>
          </w:tcPr>
          <w:p>
            <w:pPr>
              <w:spacing w:before="40" w:after="40"/>
              <w:jc w:val="right"/>
            </w:pPr>
            <w:r>
              <w:rPr>
                <w:rFonts w:ascii="Times New Roman" w:hAnsi="Times New Roman"/>
                <w:color w:val="1E1E1E"/>
                <w:sz w:val="17"/>
              </w:rPr>
              <w:t>10.00%</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0.2431</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100.0%</w:t>
            </w:r>
          </w:p>
        </w:tc>
      </w:tr>
      <w:tr>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Dirichlet alpha = 0.5</w:t>
            </w:r>
          </w:p>
        </w:tc>
        <w:tc>
          <w:tcPr>
            <w:tcW w:type="dxa" w:w="2160"/>
            <w:tcMar>
              <w:top w:w="80" w:type="dxa"/>
              <w:bottom w:w="80" w:type="dxa"/>
              <w:left w:w="120" w:type="dxa"/>
              <w:right w:w="120" w:type="dxa"/>
            </w:tcMar>
            <w:shd w:fill="FFFFFF"/>
          </w:tcPr>
          <w:p>
            <w:pPr>
              <w:spacing w:before="40" w:after="40"/>
              <w:jc w:val="left"/>
            </w:pPr>
            <w:r>
              <w:rPr>
                <w:rFonts w:ascii="Times New Roman" w:hAnsi="Times New Roman"/>
                <w:color w:val="1E1E1E"/>
                <w:sz w:val="17"/>
              </w:rPr>
              <w:t>Random / FedAvg</w:t>
            </w:r>
          </w:p>
        </w:tc>
        <w:tc>
          <w:tcPr>
            <w:tcW w:type="dxa" w:w="1728"/>
            <w:tcMar>
              <w:top w:w="80" w:type="dxa"/>
              <w:bottom w:w="80" w:type="dxa"/>
              <w:left w:w="120" w:type="dxa"/>
              <w:right w:w="120" w:type="dxa"/>
            </w:tcMar>
            <w:shd w:fill="FFFFFF"/>
          </w:tcPr>
          <w:p>
            <w:pPr>
              <w:spacing w:before="40" w:after="40"/>
              <w:jc w:val="right"/>
            </w:pPr>
            <w:r>
              <w:rPr>
                <w:rFonts w:ascii="Times New Roman" w:hAnsi="Times New Roman"/>
                <w:color w:val="1E1E1E"/>
                <w:sz w:val="17"/>
              </w:rPr>
              <w:t>40.84%</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0.2391</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100.0%</w:t>
            </w:r>
          </w:p>
        </w:tc>
      </w:tr>
      <w:tr>
        <w:tc>
          <w:tcPr>
            <w:tcW w:type="dxa" w:w="2592"/>
            <w:tcMar>
              <w:top w:w="80" w:type="dxa"/>
              <w:bottom w:w="80" w:type="dxa"/>
              <w:left w:w="120" w:type="dxa"/>
              <w:right w:w="120" w:type="dxa"/>
            </w:tcMar>
            <w:shd w:fill="F2F5F9"/>
          </w:tcPr>
          <w:p>
            <w:pPr>
              <w:spacing w:before="40" w:after="40"/>
              <w:jc w:val="left"/>
            </w:pPr>
            <w:r>
              <w:rPr>
                <w:rFonts w:ascii="Times New Roman" w:hAnsi="Times New Roman"/>
                <w:color w:val="1E1E1E"/>
                <w:sz w:val="17"/>
              </w:rPr>
              <w:t>Dirichlet alpha = 0.5</w:t>
            </w:r>
          </w:p>
        </w:tc>
        <w:tc>
          <w:tcPr>
            <w:tcW w:type="dxa" w:w="2160"/>
            <w:tcMar>
              <w:top w:w="80" w:type="dxa"/>
              <w:bottom w:w="80" w:type="dxa"/>
              <w:left w:w="120" w:type="dxa"/>
              <w:right w:w="120" w:type="dxa"/>
            </w:tcMar>
            <w:shd w:fill="F2F5F9"/>
          </w:tcPr>
          <w:p>
            <w:pPr>
              <w:spacing w:before="40" w:after="40"/>
              <w:jc w:val="left"/>
            </w:pPr>
            <w:r>
              <w:rPr>
                <w:rFonts w:ascii="Times New Roman" w:hAnsi="Times New Roman"/>
                <w:color w:val="1E1E1E"/>
                <w:sz w:val="17"/>
              </w:rPr>
              <w:t>FedQual-CPX</w:t>
            </w:r>
          </w:p>
        </w:tc>
        <w:tc>
          <w:tcPr>
            <w:tcW w:type="dxa" w:w="1728"/>
            <w:tcMar>
              <w:top w:w="80" w:type="dxa"/>
              <w:bottom w:w="80" w:type="dxa"/>
              <w:left w:w="120" w:type="dxa"/>
              <w:right w:w="120" w:type="dxa"/>
            </w:tcMar>
            <w:shd w:fill="F2F5F9"/>
          </w:tcPr>
          <w:p>
            <w:pPr>
              <w:spacing w:before="40" w:after="40"/>
              <w:jc w:val="right"/>
            </w:pPr>
            <w:r>
              <w:rPr>
                <w:rFonts w:ascii="Times New Roman" w:hAnsi="Times New Roman"/>
                <w:color w:val="1E1E1E"/>
                <w:sz w:val="17"/>
              </w:rPr>
              <w:t>42.27%</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0.2529</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100.0%</w:t>
            </w:r>
          </w:p>
        </w:tc>
      </w:tr>
      <w:tr>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Dirichlet alpha = 1.0</w:t>
            </w:r>
          </w:p>
        </w:tc>
        <w:tc>
          <w:tcPr>
            <w:tcW w:type="dxa" w:w="2160"/>
            <w:tcMar>
              <w:top w:w="80" w:type="dxa"/>
              <w:bottom w:w="80" w:type="dxa"/>
              <w:left w:w="120" w:type="dxa"/>
              <w:right w:w="120" w:type="dxa"/>
            </w:tcMar>
            <w:shd w:fill="FFFFFF"/>
          </w:tcPr>
          <w:p>
            <w:pPr>
              <w:spacing w:before="40" w:after="40"/>
              <w:jc w:val="left"/>
            </w:pPr>
            <w:r>
              <w:rPr>
                <w:rFonts w:ascii="Times New Roman" w:hAnsi="Times New Roman"/>
                <w:color w:val="1E1E1E"/>
                <w:sz w:val="17"/>
              </w:rPr>
              <w:t>Random / FedAvg</w:t>
            </w:r>
          </w:p>
        </w:tc>
        <w:tc>
          <w:tcPr>
            <w:tcW w:type="dxa" w:w="1728"/>
            <w:tcMar>
              <w:top w:w="80" w:type="dxa"/>
              <w:bottom w:w="80" w:type="dxa"/>
              <w:left w:w="120" w:type="dxa"/>
              <w:right w:w="120" w:type="dxa"/>
            </w:tcMar>
            <w:shd w:fill="FFFFFF"/>
          </w:tcPr>
          <w:p>
            <w:pPr>
              <w:spacing w:before="40" w:after="40"/>
              <w:jc w:val="right"/>
            </w:pPr>
            <w:r>
              <w:rPr>
                <w:rFonts w:ascii="Times New Roman" w:hAnsi="Times New Roman"/>
                <w:color w:val="1E1E1E"/>
                <w:sz w:val="17"/>
              </w:rPr>
              <w:t>40.55%</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0.2391</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100.0%</w:t>
            </w:r>
          </w:p>
        </w:tc>
      </w:tr>
      <w:tr>
        <w:tc>
          <w:tcPr>
            <w:tcW w:type="dxa" w:w="2592"/>
            <w:tcMar>
              <w:top w:w="80" w:type="dxa"/>
              <w:bottom w:w="80" w:type="dxa"/>
              <w:left w:w="120" w:type="dxa"/>
              <w:right w:w="120" w:type="dxa"/>
            </w:tcMar>
            <w:shd w:fill="F2F5F9"/>
          </w:tcPr>
          <w:p>
            <w:pPr>
              <w:spacing w:before="40" w:after="40"/>
              <w:jc w:val="left"/>
            </w:pPr>
            <w:r>
              <w:rPr>
                <w:rFonts w:ascii="Times New Roman" w:hAnsi="Times New Roman"/>
                <w:color w:val="1E1E1E"/>
                <w:sz w:val="17"/>
              </w:rPr>
              <w:t>Dirichlet alpha = 1.0</w:t>
            </w:r>
          </w:p>
        </w:tc>
        <w:tc>
          <w:tcPr>
            <w:tcW w:type="dxa" w:w="2160"/>
            <w:tcMar>
              <w:top w:w="80" w:type="dxa"/>
              <w:bottom w:w="80" w:type="dxa"/>
              <w:left w:w="120" w:type="dxa"/>
              <w:right w:w="120" w:type="dxa"/>
            </w:tcMar>
            <w:shd w:fill="F2F5F9"/>
          </w:tcPr>
          <w:p>
            <w:pPr>
              <w:spacing w:before="40" w:after="40"/>
              <w:jc w:val="left"/>
            </w:pPr>
            <w:r>
              <w:rPr>
                <w:rFonts w:ascii="Times New Roman" w:hAnsi="Times New Roman"/>
                <w:color w:val="1E1E1E"/>
                <w:sz w:val="17"/>
              </w:rPr>
              <w:t>FedQual-CPX</w:t>
            </w:r>
          </w:p>
        </w:tc>
        <w:tc>
          <w:tcPr>
            <w:tcW w:type="dxa" w:w="1728"/>
            <w:tcMar>
              <w:top w:w="80" w:type="dxa"/>
              <w:bottom w:w="80" w:type="dxa"/>
              <w:left w:w="120" w:type="dxa"/>
              <w:right w:w="120" w:type="dxa"/>
            </w:tcMar>
            <w:shd w:fill="F2F5F9"/>
          </w:tcPr>
          <w:p>
            <w:pPr>
              <w:spacing w:before="40" w:after="40"/>
              <w:jc w:val="right"/>
            </w:pPr>
            <w:r>
              <w:rPr>
                <w:rFonts w:ascii="Times New Roman" w:hAnsi="Times New Roman"/>
                <w:color w:val="1E1E1E"/>
                <w:sz w:val="17"/>
              </w:rPr>
              <w:t>44.13%</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0.3387</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100.0%</w:t>
            </w:r>
          </w:p>
        </w:tc>
      </w:tr>
      <w:tr>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Drift Fraction 10%</w:t>
            </w:r>
          </w:p>
        </w:tc>
        <w:tc>
          <w:tcPr>
            <w:tcW w:type="dxa" w:w="2160"/>
            <w:tcMar>
              <w:top w:w="80" w:type="dxa"/>
              <w:bottom w:w="80" w:type="dxa"/>
              <w:left w:w="120" w:type="dxa"/>
              <w:right w:w="120" w:type="dxa"/>
            </w:tcMar>
            <w:shd w:fill="FFFFFF"/>
          </w:tcPr>
          <w:p>
            <w:pPr>
              <w:spacing w:before="40" w:after="40"/>
              <w:jc w:val="left"/>
            </w:pPr>
            <w:r>
              <w:rPr>
                <w:rFonts w:ascii="Times New Roman" w:hAnsi="Times New Roman"/>
                <w:color w:val="1E1E1E"/>
                <w:sz w:val="17"/>
              </w:rPr>
              <w:t>FedQual-CPX</w:t>
            </w:r>
          </w:p>
        </w:tc>
        <w:tc>
          <w:tcPr>
            <w:tcW w:type="dxa" w:w="1728"/>
            <w:tcMar>
              <w:top w:w="80" w:type="dxa"/>
              <w:bottom w:w="80" w:type="dxa"/>
              <w:left w:w="120" w:type="dxa"/>
              <w:right w:w="120" w:type="dxa"/>
            </w:tcMar>
            <w:shd w:fill="FFFFFF"/>
          </w:tcPr>
          <w:p>
            <w:pPr>
              <w:spacing w:before="40" w:after="40"/>
              <w:jc w:val="right"/>
            </w:pPr>
            <w:r>
              <w:rPr>
                <w:rFonts w:ascii="Times New Roman" w:hAnsi="Times New Roman"/>
                <w:color w:val="1E1E1E"/>
                <w:sz w:val="17"/>
              </w:rPr>
              <w:t>43.14%</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0.2827</w:t>
            </w:r>
          </w:p>
        </w:tc>
        <w:tc>
          <w:tcPr>
            <w:tcW w:type="dxa" w:w="1584"/>
            <w:tcMar>
              <w:top w:w="80" w:type="dxa"/>
              <w:bottom w:w="80" w:type="dxa"/>
              <w:left w:w="120" w:type="dxa"/>
              <w:right w:w="120" w:type="dxa"/>
            </w:tcMar>
            <w:shd w:fill="FFFFFF"/>
          </w:tcPr>
          <w:p>
            <w:pPr>
              <w:spacing w:before="40" w:after="40"/>
              <w:jc w:val="right"/>
            </w:pPr>
            <w:r>
              <w:rPr>
                <w:rFonts w:ascii="Times New Roman" w:hAnsi="Times New Roman"/>
                <w:color w:val="1E1E1E"/>
                <w:sz w:val="17"/>
              </w:rPr>
              <w:t>100.0%</w:t>
            </w:r>
          </w:p>
        </w:tc>
      </w:tr>
      <w:tr>
        <w:tc>
          <w:tcPr>
            <w:tcW w:type="dxa" w:w="2592"/>
            <w:tcMar>
              <w:top w:w="80" w:type="dxa"/>
              <w:bottom w:w="80" w:type="dxa"/>
              <w:left w:w="120" w:type="dxa"/>
              <w:right w:w="120" w:type="dxa"/>
            </w:tcMar>
            <w:shd w:fill="F2F5F9"/>
          </w:tcPr>
          <w:p>
            <w:pPr>
              <w:spacing w:before="40" w:after="40"/>
              <w:jc w:val="left"/>
            </w:pPr>
            <w:r>
              <w:rPr>
                <w:rFonts w:ascii="Times New Roman" w:hAnsi="Times New Roman"/>
                <w:color w:val="1E1E1E"/>
                <w:sz w:val="17"/>
              </w:rPr>
              <w:t>Drift Fraction 50%</w:t>
            </w:r>
          </w:p>
        </w:tc>
        <w:tc>
          <w:tcPr>
            <w:tcW w:type="dxa" w:w="2160"/>
            <w:tcMar>
              <w:top w:w="80" w:type="dxa"/>
              <w:bottom w:w="80" w:type="dxa"/>
              <w:left w:w="120" w:type="dxa"/>
              <w:right w:w="120" w:type="dxa"/>
            </w:tcMar>
            <w:shd w:fill="F2F5F9"/>
          </w:tcPr>
          <w:p>
            <w:pPr>
              <w:spacing w:before="40" w:after="40"/>
              <w:jc w:val="left"/>
            </w:pPr>
            <w:r>
              <w:rPr>
                <w:rFonts w:ascii="Times New Roman" w:hAnsi="Times New Roman"/>
                <w:color w:val="1E1E1E"/>
                <w:sz w:val="17"/>
              </w:rPr>
              <w:t>FedQual-CPX</w:t>
            </w:r>
          </w:p>
        </w:tc>
        <w:tc>
          <w:tcPr>
            <w:tcW w:type="dxa" w:w="1728"/>
            <w:tcMar>
              <w:top w:w="80" w:type="dxa"/>
              <w:bottom w:w="80" w:type="dxa"/>
              <w:left w:w="120" w:type="dxa"/>
              <w:right w:w="120" w:type="dxa"/>
            </w:tcMar>
            <w:shd w:fill="F2F5F9"/>
          </w:tcPr>
          <w:p>
            <w:pPr>
              <w:spacing w:before="40" w:after="40"/>
              <w:jc w:val="right"/>
            </w:pPr>
            <w:r>
              <w:rPr>
                <w:rFonts w:ascii="Times New Roman" w:hAnsi="Times New Roman"/>
                <w:color w:val="1E1E1E"/>
                <w:sz w:val="17"/>
              </w:rPr>
              <w:t>38.16%</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0.2693</w:t>
            </w:r>
          </w:p>
        </w:tc>
        <w:tc>
          <w:tcPr>
            <w:tcW w:type="dxa" w:w="1584"/>
            <w:tcMar>
              <w:top w:w="80" w:type="dxa"/>
              <w:bottom w:w="80" w:type="dxa"/>
              <w:left w:w="120" w:type="dxa"/>
              <w:right w:w="120" w:type="dxa"/>
            </w:tcMar>
            <w:shd w:fill="F2F5F9"/>
          </w:tcPr>
          <w:p>
            <w:pPr>
              <w:spacing w:before="40" w:after="40"/>
              <w:jc w:val="right"/>
            </w:pPr>
            <w:r>
              <w:rPr>
                <w:rFonts w:ascii="Times New Roman" w:hAnsi="Times New Roman"/>
                <w:color w:val="1E1E1E"/>
                <w:sz w:val="17"/>
              </w:rPr>
              <w:t>100.0%</w:t>
            </w:r>
          </w:p>
        </w:tc>
      </w:tr>
    </w:tbl>
    <w:p>
      <w:pPr>
        <w:spacing w:before="40" w:after="160"/>
        <w:jc w:val="center"/>
      </w:pPr>
      <w:r>
        <w:rPr>
          <w:rFonts w:ascii="Times New Roman" w:hAnsi="Times New Roman"/>
          <w:i/>
          <w:sz w:val="17"/>
        </w:rPr>
        <w:t>Table 5: Robustness stress-testing across non-IID skew and drift fractions.</w:t>
      </w:r>
    </w:p>
    <w:p>
      <w:pPr>
        <w:keepNext/>
        <w:spacing w:before="240" w:after="80"/>
      </w:pPr>
      <w:r>
        <w:rPr>
          <w:rFonts w:ascii="Times New Roman" w:hAnsi="Times New Roman"/>
          <w:b/>
          <w:color w:val="14325A"/>
          <w:sz w:val="24"/>
        </w:rPr>
        <w:t>7. A Predicted Participation Threshold</w:t>
      </w:r>
    </w:p>
    <w:p>
      <w:pPr>
        <w:spacing w:before="0" w:after="80" w:line="276" w:lineRule="auto"/>
        <w:jc w:val="both"/>
      </w:pPr>
      <w:r>
        <w:rPr>
          <w:rFonts w:ascii="Times New Roman" w:hAnsi="Times New Roman"/>
          <w:b w:val="0"/>
          <w:i w:val="0"/>
        </w:rPr>
        <w:t>The consistent deficit of change-aware selection under realistic participation rates raises a fundamental question: at what participation ratio could sequential change detection theoretically become beneficial? To analyze this question, consider the participation ratio rho = K / N. By Theorem 1, the round detection latency scales as T_delay = (1 / rho) * tau_obs. For a sequential detector to guide post-drift recovery, detection must occur before a fraction gamma of the post-drift training horizon elapses.</w:t>
      </w:r>
    </w:p>
    <w:p>
      <w:pPr>
        <w:spacing w:before="0" w:after="80" w:line="276" w:lineRule="auto"/>
        <w:jc w:val="both"/>
      </w:pPr>
      <w:r>
        <w:rPr>
          <w:rFonts w:ascii="Times New Roman" w:hAnsi="Times New Roman"/>
          <w:b w:val="0"/>
          <w:i w:val="0"/>
        </w:rPr>
        <w:t>For typical experimental parameters (tau_obs = 11, T - tau = 50, gamma = 0.6), the critical participation threshold is rho* = 11 / (0.6 * 50) = 0.36. When rho &lt; rho* (evaluated at rho in {0.05, 0.10}), the coordinator doesn't observe clients frequently enough to catch drift in time to recover. Unbiased random sampling wins because it avoids observation delays entirely. The theoretical formulation predicts that only when participation rates exceed rho* could detection latency drop sufficiently to guide adaptive recovery. We verify this barrier empirically below the threshold and leave above-threshold validation to high-bandwidth settings.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97D"/>
            <w:tcMar>
              <w:top w:w="100" w:type="dxa"/>
              <w:bottom w:w="100" w:type="dxa"/>
              <w:left w:w="150" w:type="dxa"/>
              <w:right w:w="150" w:type="dxa"/>
            </w:tcMar>
          </w:tcPr>
          <w:p>
            <w:pPr>
              <w:jc w:val="left"/>
            </w:pPr>
            <w:r>
              <w:rPr>
                <w:rFonts w:ascii="Times New Roman" w:hAnsi="Times New Roman"/>
                <w:b/>
                <w:color w:val="FFFFFF"/>
                <w:sz w:val="17"/>
              </w:rPr>
              <w:t>Ratio (rho)</w:t>
            </w:r>
          </w:p>
        </w:tc>
        <w:tc>
          <w:tcPr>
            <w:tcW w:type="dxa" w:w="1680"/>
            <w:shd w:fill="1F497D"/>
            <w:tcMar>
              <w:top w:w="100" w:type="dxa"/>
              <w:bottom w:w="100" w:type="dxa"/>
              <w:left w:w="150" w:type="dxa"/>
              <w:right w:w="150" w:type="dxa"/>
            </w:tcMar>
          </w:tcPr>
          <w:p>
            <w:pPr>
              <w:jc w:val="left"/>
            </w:pPr>
            <w:r>
              <w:rPr>
                <w:rFonts w:ascii="Times New Roman" w:hAnsi="Times New Roman"/>
                <w:b/>
                <w:color w:val="FFFFFF"/>
                <w:sz w:val="17"/>
              </w:rPr>
              <w:t>Selection Policy</w:t>
            </w:r>
          </w:p>
        </w:tc>
        <w:tc>
          <w:tcPr>
            <w:tcW w:type="dxa" w:w="1680"/>
            <w:shd w:fill="1F497D"/>
            <w:tcMar>
              <w:top w:w="100" w:type="dxa"/>
              <w:bottom w:w="100" w:type="dxa"/>
              <w:left w:w="150" w:type="dxa"/>
              <w:right w:w="150" w:type="dxa"/>
            </w:tcMar>
          </w:tcPr>
          <w:p>
            <w:pPr>
              <w:jc w:val="right"/>
            </w:pPr>
            <w:r>
              <w:rPr>
                <w:rFonts w:ascii="Times New Roman" w:hAnsi="Times New Roman"/>
                <w:b/>
                <w:color w:val="FFFFFF"/>
                <w:sz w:val="17"/>
              </w:rPr>
              <w:t>Final Acc (%)</w:t>
            </w:r>
          </w:p>
        </w:tc>
        <w:tc>
          <w:tcPr>
            <w:tcW w:type="dxa" w:w="1680"/>
            <w:shd w:fill="1F497D"/>
            <w:tcMar>
              <w:top w:w="100" w:type="dxa"/>
              <w:bottom w:w="100" w:type="dxa"/>
              <w:left w:w="150" w:type="dxa"/>
              <w:right w:w="150" w:type="dxa"/>
            </w:tcMar>
          </w:tcPr>
          <w:p>
            <w:pPr>
              <w:jc w:val="right"/>
            </w:pPr>
            <w:r>
              <w:rPr>
                <w:rFonts w:ascii="Times New Roman" w:hAnsi="Times New Roman"/>
                <w:b/>
                <w:color w:val="FFFFFF"/>
                <w:sz w:val="17"/>
              </w:rPr>
              <w:t>Recovery Acc (%)</w:t>
            </w:r>
          </w:p>
        </w:tc>
        <w:tc>
          <w:tcPr>
            <w:tcW w:type="dxa" w:w="1680"/>
            <w:shd w:fill="1F497D"/>
            <w:tcMar>
              <w:top w:w="100" w:type="dxa"/>
              <w:bottom w:w="100" w:type="dxa"/>
              <w:left w:w="150" w:type="dxa"/>
              <w:right w:w="150" w:type="dxa"/>
            </w:tcMar>
          </w:tcPr>
          <w:p>
            <w:pPr>
              <w:jc w:val="right"/>
            </w:pPr>
            <w:r>
              <w:rPr>
                <w:rFonts w:ascii="Times New Roman" w:hAnsi="Times New Roman"/>
                <w:b/>
                <w:color w:val="FFFFFF"/>
                <w:sz w:val="17"/>
              </w:rPr>
              <w:t>Gini</w:t>
            </w:r>
          </w:p>
        </w:tc>
        <w:tc>
          <w:tcPr>
            <w:tcW w:type="dxa" w:w="1680"/>
            <w:shd w:fill="1F497D"/>
            <w:tcMar>
              <w:top w:w="100" w:type="dxa"/>
              <w:bottom w:w="100" w:type="dxa"/>
              <w:left w:w="150" w:type="dxa"/>
              <w:right w:w="150" w:type="dxa"/>
            </w:tcMar>
          </w:tcPr>
          <w:p>
            <w:pPr>
              <w:jc w:val="right"/>
            </w:pPr>
            <w:r>
              <w:rPr>
                <w:rFonts w:ascii="Times New Roman" w:hAnsi="Times New Roman"/>
                <w:b/>
                <w:color w:val="FFFFFF"/>
                <w:sz w:val="17"/>
              </w:rPr>
              <w:t>Coverage</w:t>
            </w:r>
          </w:p>
        </w:tc>
      </w:tr>
      <w:tr>
        <w:tc>
          <w:tcPr>
            <w:tcW w:type="dxa" w:w="1872"/>
            <w:tcMar>
              <w:top w:w="80" w:type="dxa"/>
              <w:bottom w:w="80" w:type="dxa"/>
              <w:left w:w="120" w:type="dxa"/>
              <w:right w:w="120" w:type="dxa"/>
            </w:tcMar>
            <w:shd w:fill="FFFFFF"/>
          </w:tcPr>
          <w:p>
            <w:pPr>
              <w:spacing w:before="40" w:after="40"/>
              <w:jc w:val="left"/>
            </w:pPr>
            <w:r>
              <w:rPr>
                <w:rFonts w:ascii="Times New Roman" w:hAnsi="Times New Roman"/>
                <w:color w:val="1E1E1E"/>
                <w:sz w:val="17"/>
              </w:rPr>
              <w:t>rho = 0.05</w:t>
            </w:r>
          </w:p>
        </w:tc>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Random / FedAvg (B0)</w:t>
            </w:r>
          </w:p>
        </w:tc>
        <w:tc>
          <w:tcPr>
            <w:tcW w:type="dxa" w:w="2016"/>
            <w:tcMar>
              <w:top w:w="80" w:type="dxa"/>
              <w:bottom w:w="80" w:type="dxa"/>
              <w:left w:w="120" w:type="dxa"/>
              <w:right w:w="120" w:type="dxa"/>
            </w:tcMar>
            <w:shd w:fill="FFFFFF"/>
          </w:tcPr>
          <w:p>
            <w:pPr>
              <w:spacing w:before="40" w:after="40"/>
              <w:jc w:val="right"/>
            </w:pPr>
            <w:r>
              <w:rPr>
                <w:rFonts w:ascii="Times New Roman" w:hAnsi="Times New Roman"/>
                <w:color w:val="1E1E1E"/>
                <w:sz w:val="17"/>
              </w:rPr>
              <w:t>33.08 [30.9, 34.4]</w:t>
            </w:r>
          </w:p>
        </w:tc>
        <w:tc>
          <w:tcPr>
            <w:tcW w:type="dxa" w:w="2016"/>
            <w:tcMar>
              <w:top w:w="80" w:type="dxa"/>
              <w:bottom w:w="80" w:type="dxa"/>
              <w:left w:w="120" w:type="dxa"/>
              <w:right w:w="120" w:type="dxa"/>
            </w:tcMar>
            <w:shd w:fill="FFFFFF"/>
          </w:tcPr>
          <w:p>
            <w:pPr>
              <w:spacing w:before="40" w:after="40"/>
              <w:jc w:val="right"/>
            </w:pPr>
            <w:r>
              <w:rPr>
                <w:rFonts w:ascii="Times New Roman" w:hAnsi="Times New Roman"/>
                <w:color w:val="1E1E1E"/>
                <w:sz w:val="17"/>
              </w:rPr>
              <w:t>24.01 [22.8, 26.3]</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0.2432</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99.3%</w:t>
            </w:r>
          </w:p>
        </w:tc>
      </w:tr>
      <w:tr>
        <w:tc>
          <w:tcPr>
            <w:tcW w:type="dxa" w:w="1872"/>
            <w:tcMar>
              <w:top w:w="80" w:type="dxa"/>
              <w:bottom w:w="80" w:type="dxa"/>
              <w:left w:w="120" w:type="dxa"/>
              <w:right w:w="120" w:type="dxa"/>
            </w:tcMar>
            <w:shd w:fill="F2F5F9"/>
          </w:tcPr>
          <w:p>
            <w:pPr>
              <w:spacing w:before="40" w:after="40"/>
              <w:jc w:val="left"/>
            </w:pPr>
            <w:r>
              <w:rPr>
                <w:rFonts w:ascii="Times New Roman" w:hAnsi="Times New Roman"/>
                <w:color w:val="1E1E1E"/>
                <w:sz w:val="17"/>
              </w:rPr>
              <w:t>rho = 0.05</w:t>
            </w:r>
          </w:p>
        </w:tc>
        <w:tc>
          <w:tcPr>
            <w:tcW w:type="dxa" w:w="2592"/>
            <w:tcMar>
              <w:top w:w="80" w:type="dxa"/>
              <w:bottom w:w="80" w:type="dxa"/>
              <w:left w:w="120" w:type="dxa"/>
              <w:right w:w="120" w:type="dxa"/>
            </w:tcMar>
            <w:shd w:fill="F2F5F9"/>
          </w:tcPr>
          <w:p>
            <w:pPr>
              <w:spacing w:before="40" w:after="40"/>
              <w:jc w:val="left"/>
            </w:pPr>
            <w:r>
              <w:rPr>
                <w:rFonts w:ascii="Times New Roman" w:hAnsi="Times New Roman"/>
                <w:color w:val="1E1E1E"/>
                <w:sz w:val="17"/>
              </w:rPr>
              <w:t>FedQual-CPX (B8)</w:t>
            </w:r>
          </w:p>
        </w:tc>
        <w:tc>
          <w:tcPr>
            <w:tcW w:type="dxa" w:w="2016"/>
            <w:tcMar>
              <w:top w:w="80" w:type="dxa"/>
              <w:bottom w:w="80" w:type="dxa"/>
              <w:left w:w="120" w:type="dxa"/>
              <w:right w:w="120" w:type="dxa"/>
            </w:tcMar>
            <w:shd w:fill="F2F5F9"/>
          </w:tcPr>
          <w:p>
            <w:pPr>
              <w:spacing w:before="40" w:after="40"/>
              <w:jc w:val="right"/>
            </w:pPr>
            <w:r>
              <w:rPr>
                <w:rFonts w:ascii="Times New Roman" w:hAnsi="Times New Roman"/>
                <w:color w:val="1E1E1E"/>
                <w:sz w:val="17"/>
              </w:rPr>
              <w:t>27.14 [23.6, 30.1]</w:t>
            </w:r>
          </w:p>
        </w:tc>
        <w:tc>
          <w:tcPr>
            <w:tcW w:type="dxa" w:w="2016"/>
            <w:tcMar>
              <w:top w:w="80" w:type="dxa"/>
              <w:bottom w:w="80" w:type="dxa"/>
              <w:left w:w="120" w:type="dxa"/>
              <w:right w:w="120" w:type="dxa"/>
            </w:tcMar>
            <w:shd w:fill="F2F5F9"/>
          </w:tcPr>
          <w:p>
            <w:pPr>
              <w:spacing w:before="40" w:after="40"/>
              <w:jc w:val="right"/>
            </w:pPr>
            <w:r>
              <w:rPr>
                <w:rFonts w:ascii="Times New Roman" w:hAnsi="Times New Roman"/>
                <w:color w:val="1E1E1E"/>
                <w:sz w:val="17"/>
              </w:rPr>
              <w:t>23.32 [21.9, 24.3]</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0.4347</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100.0%</w:t>
            </w:r>
          </w:p>
        </w:tc>
      </w:tr>
      <w:tr>
        <w:tc>
          <w:tcPr>
            <w:tcW w:type="dxa" w:w="1872"/>
            <w:tcMar>
              <w:top w:w="80" w:type="dxa"/>
              <w:bottom w:w="80" w:type="dxa"/>
              <w:left w:w="120" w:type="dxa"/>
              <w:right w:w="120" w:type="dxa"/>
            </w:tcMar>
            <w:shd w:fill="FFFFFF"/>
          </w:tcPr>
          <w:p>
            <w:pPr>
              <w:spacing w:before="40" w:after="40"/>
              <w:jc w:val="left"/>
            </w:pPr>
            <w:r>
              <w:rPr>
                <w:rFonts w:ascii="Times New Roman" w:hAnsi="Times New Roman"/>
                <w:color w:val="1E1E1E"/>
                <w:sz w:val="17"/>
              </w:rPr>
              <w:t>rho = 0.10</w:t>
            </w:r>
          </w:p>
        </w:tc>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Random / FedAvg (B0)</w:t>
            </w:r>
          </w:p>
        </w:tc>
        <w:tc>
          <w:tcPr>
            <w:tcW w:type="dxa" w:w="2016"/>
            <w:tcMar>
              <w:top w:w="80" w:type="dxa"/>
              <w:bottom w:w="80" w:type="dxa"/>
              <w:left w:w="120" w:type="dxa"/>
              <w:right w:w="120" w:type="dxa"/>
            </w:tcMar>
            <w:shd w:fill="FFFFFF"/>
          </w:tcPr>
          <w:p>
            <w:pPr>
              <w:spacing w:before="40" w:after="40"/>
              <w:jc w:val="right"/>
            </w:pPr>
            <w:r>
              <w:rPr>
                <w:rFonts w:ascii="Times New Roman" w:hAnsi="Times New Roman"/>
                <w:color w:val="1E1E1E"/>
                <w:sz w:val="17"/>
              </w:rPr>
              <w:t>36.58 [30.6, 40.5]</w:t>
            </w:r>
          </w:p>
        </w:tc>
        <w:tc>
          <w:tcPr>
            <w:tcW w:type="dxa" w:w="2016"/>
            <w:tcMar>
              <w:top w:w="80" w:type="dxa"/>
              <w:bottom w:w="80" w:type="dxa"/>
              <w:left w:w="120" w:type="dxa"/>
              <w:right w:w="120" w:type="dxa"/>
            </w:tcMar>
            <w:shd w:fill="FFFFFF"/>
          </w:tcPr>
          <w:p>
            <w:pPr>
              <w:spacing w:before="40" w:after="40"/>
              <w:jc w:val="right"/>
            </w:pPr>
            <w:r>
              <w:rPr>
                <w:rFonts w:ascii="Times New Roman" w:hAnsi="Times New Roman"/>
                <w:color w:val="1E1E1E"/>
                <w:sz w:val="17"/>
              </w:rPr>
              <w:t>30.79 [28.5, 32.4]</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0.1705</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100.0%</w:t>
            </w:r>
          </w:p>
        </w:tc>
      </w:tr>
      <w:tr>
        <w:tc>
          <w:tcPr>
            <w:tcW w:type="dxa" w:w="1872"/>
            <w:tcMar>
              <w:top w:w="80" w:type="dxa"/>
              <w:bottom w:w="80" w:type="dxa"/>
              <w:left w:w="120" w:type="dxa"/>
              <w:right w:w="120" w:type="dxa"/>
            </w:tcMar>
            <w:shd w:fill="F2F5F9"/>
          </w:tcPr>
          <w:p>
            <w:pPr>
              <w:spacing w:before="40" w:after="40"/>
              <w:jc w:val="left"/>
            </w:pPr>
            <w:r>
              <w:rPr>
                <w:rFonts w:ascii="Times New Roman" w:hAnsi="Times New Roman"/>
                <w:color w:val="1E1E1E"/>
                <w:sz w:val="17"/>
              </w:rPr>
              <w:t>rho = 0.10</w:t>
            </w:r>
          </w:p>
        </w:tc>
        <w:tc>
          <w:tcPr>
            <w:tcW w:type="dxa" w:w="2592"/>
            <w:tcMar>
              <w:top w:w="80" w:type="dxa"/>
              <w:bottom w:w="80" w:type="dxa"/>
              <w:left w:w="120" w:type="dxa"/>
              <w:right w:w="120" w:type="dxa"/>
            </w:tcMar>
            <w:shd w:fill="F2F5F9"/>
          </w:tcPr>
          <w:p>
            <w:pPr>
              <w:spacing w:before="40" w:after="40"/>
              <w:jc w:val="left"/>
            </w:pPr>
            <w:r>
              <w:rPr>
                <w:rFonts w:ascii="Times New Roman" w:hAnsi="Times New Roman"/>
                <w:color w:val="1E1E1E"/>
                <w:sz w:val="17"/>
              </w:rPr>
              <w:t>FedQual-CPX (B8)</w:t>
            </w:r>
          </w:p>
        </w:tc>
        <w:tc>
          <w:tcPr>
            <w:tcW w:type="dxa" w:w="2016"/>
            <w:tcMar>
              <w:top w:w="80" w:type="dxa"/>
              <w:bottom w:w="80" w:type="dxa"/>
              <w:left w:w="120" w:type="dxa"/>
              <w:right w:w="120" w:type="dxa"/>
            </w:tcMar>
            <w:shd w:fill="F2F5F9"/>
          </w:tcPr>
          <w:p>
            <w:pPr>
              <w:spacing w:before="40" w:after="40"/>
              <w:jc w:val="right"/>
            </w:pPr>
            <w:r>
              <w:rPr>
                <w:rFonts w:ascii="Times New Roman" w:hAnsi="Times New Roman"/>
                <w:color w:val="1E1E1E"/>
                <w:sz w:val="17"/>
              </w:rPr>
              <w:t>31.80 [31.0, 32.5]</w:t>
            </w:r>
          </w:p>
        </w:tc>
        <w:tc>
          <w:tcPr>
            <w:tcW w:type="dxa" w:w="2016"/>
            <w:tcMar>
              <w:top w:w="80" w:type="dxa"/>
              <w:bottom w:w="80" w:type="dxa"/>
              <w:left w:w="120" w:type="dxa"/>
              <w:right w:w="120" w:type="dxa"/>
            </w:tcMar>
            <w:shd w:fill="F2F5F9"/>
          </w:tcPr>
          <w:p>
            <w:pPr>
              <w:spacing w:before="40" w:after="40"/>
              <w:jc w:val="right"/>
            </w:pPr>
            <w:r>
              <w:rPr>
                <w:rFonts w:ascii="Times New Roman" w:hAnsi="Times New Roman"/>
                <w:color w:val="1E1E1E"/>
                <w:sz w:val="17"/>
              </w:rPr>
              <w:t>29.04 [26.9, 30.4]</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0.5051</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100.0%</w:t>
            </w:r>
          </w:p>
        </w:tc>
      </w:tr>
      <w:tr>
        <w:tc>
          <w:tcPr>
            <w:tcW w:type="dxa" w:w="1872"/>
            <w:tcMar>
              <w:top w:w="80" w:type="dxa"/>
              <w:bottom w:w="80" w:type="dxa"/>
              <w:left w:w="120" w:type="dxa"/>
              <w:right w:w="120" w:type="dxa"/>
            </w:tcMar>
            <w:shd w:fill="FFFFFF"/>
          </w:tcPr>
          <w:p>
            <w:pPr>
              <w:spacing w:before="40" w:after="40"/>
              <w:jc w:val="left"/>
            </w:pPr>
            <w:r>
              <w:rPr>
                <w:rFonts w:ascii="Times New Roman" w:hAnsi="Times New Roman"/>
                <w:color w:val="1E1E1E"/>
                <w:sz w:val="17"/>
              </w:rPr>
              <w:t>rho = 0.25</w:t>
            </w:r>
          </w:p>
        </w:tc>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Random / FedAvg (B0)</w:t>
            </w:r>
          </w:p>
        </w:tc>
        <w:tc>
          <w:tcPr>
            <w:tcW w:type="dxa" w:w="2016"/>
            <w:tcMar>
              <w:top w:w="80" w:type="dxa"/>
              <w:bottom w:w="80" w:type="dxa"/>
              <w:left w:w="120" w:type="dxa"/>
              <w:right w:w="120" w:type="dxa"/>
            </w:tcMar>
            <w:shd w:fill="FFFFFF"/>
          </w:tcPr>
          <w:p>
            <w:pPr>
              <w:spacing w:before="40" w:after="40"/>
              <w:jc w:val="right"/>
            </w:pPr>
            <w:r>
              <w:rPr>
                <w:rFonts w:ascii="Times New Roman" w:hAnsi="Times New Roman"/>
                <w:color w:val="1E1E1E"/>
                <w:sz w:val="17"/>
              </w:rPr>
              <w:t>42.86 [41.2, 44.0]</w:t>
            </w:r>
          </w:p>
        </w:tc>
        <w:tc>
          <w:tcPr>
            <w:tcW w:type="dxa" w:w="2016"/>
            <w:tcMar>
              <w:top w:w="80" w:type="dxa"/>
              <w:bottom w:w="80" w:type="dxa"/>
              <w:left w:w="120" w:type="dxa"/>
              <w:right w:w="120" w:type="dxa"/>
            </w:tcMar>
            <w:shd w:fill="FFFFFF"/>
          </w:tcPr>
          <w:p>
            <w:pPr>
              <w:spacing w:before="40" w:after="40"/>
              <w:jc w:val="right"/>
            </w:pPr>
            <w:r>
              <w:rPr>
                <w:rFonts w:ascii="Times New Roman" w:hAnsi="Times New Roman"/>
                <w:color w:val="1E1E1E"/>
                <w:sz w:val="17"/>
              </w:rPr>
              <w:t>37.95 [36.2, 39.1]</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0.0973</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100.0%</w:t>
            </w:r>
          </w:p>
        </w:tc>
      </w:tr>
      <w:tr>
        <w:tc>
          <w:tcPr>
            <w:tcW w:type="dxa" w:w="1872"/>
            <w:tcMar>
              <w:top w:w="80" w:type="dxa"/>
              <w:bottom w:w="80" w:type="dxa"/>
              <w:left w:w="120" w:type="dxa"/>
              <w:right w:w="120" w:type="dxa"/>
            </w:tcMar>
            <w:shd w:fill="F2F5F9"/>
          </w:tcPr>
          <w:p>
            <w:pPr>
              <w:spacing w:before="40" w:after="40"/>
              <w:jc w:val="left"/>
            </w:pPr>
            <w:r>
              <w:rPr>
                <w:rFonts w:ascii="Times New Roman" w:hAnsi="Times New Roman"/>
                <w:color w:val="1E1E1E"/>
                <w:sz w:val="17"/>
              </w:rPr>
              <w:t>rho = 0.25</w:t>
            </w:r>
          </w:p>
        </w:tc>
        <w:tc>
          <w:tcPr>
            <w:tcW w:type="dxa" w:w="2592"/>
            <w:tcMar>
              <w:top w:w="80" w:type="dxa"/>
              <w:bottom w:w="80" w:type="dxa"/>
              <w:left w:w="120" w:type="dxa"/>
              <w:right w:w="120" w:type="dxa"/>
            </w:tcMar>
            <w:shd w:fill="F2F5F9"/>
          </w:tcPr>
          <w:p>
            <w:pPr>
              <w:spacing w:before="40" w:after="40"/>
              <w:jc w:val="left"/>
            </w:pPr>
            <w:r>
              <w:rPr>
                <w:rFonts w:ascii="Times New Roman" w:hAnsi="Times New Roman"/>
                <w:color w:val="1E1E1E"/>
                <w:sz w:val="17"/>
              </w:rPr>
              <w:t>FedQual-CPX (B8)</w:t>
            </w:r>
          </w:p>
        </w:tc>
        <w:tc>
          <w:tcPr>
            <w:tcW w:type="dxa" w:w="2016"/>
            <w:tcMar>
              <w:top w:w="80" w:type="dxa"/>
              <w:bottom w:w="80" w:type="dxa"/>
              <w:left w:w="120" w:type="dxa"/>
              <w:right w:w="120" w:type="dxa"/>
            </w:tcMar>
            <w:shd w:fill="F2F5F9"/>
          </w:tcPr>
          <w:p>
            <w:pPr>
              <w:spacing w:before="40" w:after="40"/>
              <w:jc w:val="right"/>
            </w:pPr>
            <w:r>
              <w:rPr>
                <w:rFonts w:ascii="Times New Roman" w:hAnsi="Times New Roman"/>
                <w:color w:val="1E1E1E"/>
                <w:sz w:val="17"/>
              </w:rPr>
              <w:t>41.80 [40.4, 43.6]</w:t>
            </w:r>
          </w:p>
        </w:tc>
        <w:tc>
          <w:tcPr>
            <w:tcW w:type="dxa" w:w="2016"/>
            <w:tcMar>
              <w:top w:w="80" w:type="dxa"/>
              <w:bottom w:w="80" w:type="dxa"/>
              <w:left w:w="120" w:type="dxa"/>
              <w:right w:w="120" w:type="dxa"/>
            </w:tcMar>
            <w:shd w:fill="F2F5F9"/>
          </w:tcPr>
          <w:p>
            <w:pPr>
              <w:spacing w:before="40" w:after="40"/>
              <w:jc w:val="right"/>
            </w:pPr>
            <w:r>
              <w:rPr>
                <w:rFonts w:ascii="Times New Roman" w:hAnsi="Times New Roman"/>
                <w:color w:val="1E1E1E"/>
                <w:sz w:val="17"/>
              </w:rPr>
              <w:t>37.03 [35.5, 39.2]</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0.4483</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100.0%</w:t>
            </w:r>
          </w:p>
        </w:tc>
      </w:tr>
      <w:tr>
        <w:tc>
          <w:tcPr>
            <w:tcW w:type="dxa" w:w="1872"/>
            <w:tcMar>
              <w:top w:w="80" w:type="dxa"/>
              <w:bottom w:w="80" w:type="dxa"/>
              <w:left w:w="120" w:type="dxa"/>
              <w:right w:w="120" w:type="dxa"/>
            </w:tcMar>
            <w:shd w:fill="FFFFFF"/>
          </w:tcPr>
          <w:p>
            <w:pPr>
              <w:spacing w:before="40" w:after="40"/>
              <w:jc w:val="left"/>
            </w:pPr>
            <w:r>
              <w:rPr>
                <w:rFonts w:ascii="Times New Roman" w:hAnsi="Times New Roman"/>
                <w:color w:val="1E1E1E"/>
                <w:sz w:val="17"/>
              </w:rPr>
              <w:t>rho = 0.36</w:t>
            </w:r>
          </w:p>
        </w:tc>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Random / FedAvg (B0)</w:t>
            </w:r>
          </w:p>
        </w:tc>
        <w:tc>
          <w:tcPr>
            <w:tcW w:type="dxa" w:w="2016"/>
            <w:tcMar>
              <w:top w:w="80" w:type="dxa"/>
              <w:bottom w:w="80" w:type="dxa"/>
              <w:left w:w="120" w:type="dxa"/>
              <w:right w:w="120" w:type="dxa"/>
            </w:tcMar>
            <w:shd w:fill="FFFFFF"/>
          </w:tcPr>
          <w:p>
            <w:pPr>
              <w:spacing w:before="40" w:after="40"/>
              <w:jc w:val="right"/>
            </w:pPr>
            <w:r>
              <w:rPr>
                <w:rFonts w:ascii="Times New Roman" w:hAnsi="Times New Roman"/>
                <w:color w:val="1E1E1E"/>
                <w:sz w:val="17"/>
              </w:rPr>
              <w:t>44.96 [44.3, 45.8]</w:t>
            </w:r>
          </w:p>
        </w:tc>
        <w:tc>
          <w:tcPr>
            <w:tcW w:type="dxa" w:w="2016"/>
            <w:tcMar>
              <w:top w:w="80" w:type="dxa"/>
              <w:bottom w:w="80" w:type="dxa"/>
              <w:left w:w="120" w:type="dxa"/>
              <w:right w:w="120" w:type="dxa"/>
            </w:tcMar>
            <w:shd w:fill="FFFFFF"/>
          </w:tcPr>
          <w:p>
            <w:pPr>
              <w:spacing w:before="40" w:after="40"/>
              <w:jc w:val="right"/>
            </w:pPr>
            <w:r>
              <w:rPr>
                <w:rFonts w:ascii="Times New Roman" w:hAnsi="Times New Roman"/>
                <w:color w:val="1E1E1E"/>
                <w:sz w:val="17"/>
              </w:rPr>
              <w:t>39.14 [37.0, 40.3]</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0.0729</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100.0%</w:t>
            </w:r>
          </w:p>
        </w:tc>
      </w:tr>
      <w:tr>
        <w:tc>
          <w:tcPr>
            <w:tcW w:type="dxa" w:w="1872"/>
            <w:tcMar>
              <w:top w:w="80" w:type="dxa"/>
              <w:bottom w:w="80" w:type="dxa"/>
              <w:left w:w="120" w:type="dxa"/>
              <w:right w:w="120" w:type="dxa"/>
            </w:tcMar>
            <w:shd w:fill="F2F5F9"/>
          </w:tcPr>
          <w:p>
            <w:pPr>
              <w:spacing w:before="40" w:after="40"/>
              <w:jc w:val="left"/>
            </w:pPr>
            <w:r>
              <w:rPr>
                <w:rFonts w:ascii="Times New Roman" w:hAnsi="Times New Roman"/>
                <w:color w:val="1E1E1E"/>
                <w:sz w:val="17"/>
              </w:rPr>
              <w:t>rho = 0.36</w:t>
            </w:r>
          </w:p>
        </w:tc>
        <w:tc>
          <w:tcPr>
            <w:tcW w:type="dxa" w:w="2592"/>
            <w:tcMar>
              <w:top w:w="80" w:type="dxa"/>
              <w:bottom w:w="80" w:type="dxa"/>
              <w:left w:w="120" w:type="dxa"/>
              <w:right w:w="120" w:type="dxa"/>
            </w:tcMar>
            <w:shd w:fill="F2F5F9"/>
          </w:tcPr>
          <w:p>
            <w:pPr>
              <w:spacing w:before="40" w:after="40"/>
              <w:jc w:val="left"/>
            </w:pPr>
            <w:r>
              <w:rPr>
                <w:rFonts w:ascii="Times New Roman" w:hAnsi="Times New Roman"/>
                <w:color w:val="1E1E1E"/>
                <w:sz w:val="17"/>
              </w:rPr>
              <w:t>FedQual-CPX (B8)</w:t>
            </w:r>
          </w:p>
        </w:tc>
        <w:tc>
          <w:tcPr>
            <w:tcW w:type="dxa" w:w="2016"/>
            <w:tcMar>
              <w:top w:w="80" w:type="dxa"/>
              <w:bottom w:w="80" w:type="dxa"/>
              <w:left w:w="120" w:type="dxa"/>
              <w:right w:w="120" w:type="dxa"/>
            </w:tcMar>
            <w:shd w:fill="F2F5F9"/>
          </w:tcPr>
          <w:p>
            <w:pPr>
              <w:spacing w:before="40" w:after="40"/>
              <w:jc w:val="right"/>
            </w:pPr>
            <w:r>
              <w:rPr>
                <w:rFonts w:ascii="Times New Roman" w:hAnsi="Times New Roman"/>
                <w:color w:val="1E1E1E"/>
                <w:sz w:val="17"/>
              </w:rPr>
              <w:t>43.71 [43.3, 44.3]</w:t>
            </w:r>
          </w:p>
        </w:tc>
        <w:tc>
          <w:tcPr>
            <w:tcW w:type="dxa" w:w="2016"/>
            <w:tcMar>
              <w:top w:w="80" w:type="dxa"/>
              <w:bottom w:w="80" w:type="dxa"/>
              <w:left w:w="120" w:type="dxa"/>
              <w:right w:w="120" w:type="dxa"/>
            </w:tcMar>
            <w:shd w:fill="F2F5F9"/>
          </w:tcPr>
          <w:p>
            <w:pPr>
              <w:spacing w:before="40" w:after="40"/>
              <w:jc w:val="right"/>
            </w:pPr>
            <w:r>
              <w:rPr>
                <w:rFonts w:ascii="Times New Roman" w:hAnsi="Times New Roman"/>
                <w:color w:val="1E1E1E"/>
                <w:sz w:val="17"/>
              </w:rPr>
              <w:t>38.38 [37.3, 40.0]</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0.3562</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100.0%</w:t>
            </w:r>
          </w:p>
        </w:tc>
      </w:tr>
      <w:tr>
        <w:tc>
          <w:tcPr>
            <w:tcW w:type="dxa" w:w="1872"/>
            <w:tcMar>
              <w:top w:w="80" w:type="dxa"/>
              <w:bottom w:w="80" w:type="dxa"/>
              <w:left w:w="120" w:type="dxa"/>
              <w:right w:w="120" w:type="dxa"/>
            </w:tcMar>
            <w:shd w:fill="FFFFFF"/>
          </w:tcPr>
          <w:p>
            <w:pPr>
              <w:spacing w:before="40" w:after="40"/>
              <w:jc w:val="left"/>
            </w:pPr>
            <w:r>
              <w:rPr>
                <w:rFonts w:ascii="Times New Roman" w:hAnsi="Times New Roman"/>
                <w:color w:val="1E1E1E"/>
                <w:sz w:val="17"/>
              </w:rPr>
              <w:t>rho = 0.50</w:t>
            </w:r>
          </w:p>
        </w:tc>
        <w:tc>
          <w:tcPr>
            <w:tcW w:type="dxa" w:w="2592"/>
            <w:tcMar>
              <w:top w:w="80" w:type="dxa"/>
              <w:bottom w:w="80" w:type="dxa"/>
              <w:left w:w="120" w:type="dxa"/>
              <w:right w:w="120" w:type="dxa"/>
            </w:tcMar>
            <w:shd w:fill="FFFFFF"/>
          </w:tcPr>
          <w:p>
            <w:pPr>
              <w:spacing w:before="40" w:after="40"/>
              <w:jc w:val="left"/>
            </w:pPr>
            <w:r>
              <w:rPr>
                <w:rFonts w:ascii="Times New Roman" w:hAnsi="Times New Roman"/>
                <w:color w:val="1E1E1E"/>
                <w:sz w:val="17"/>
              </w:rPr>
              <w:t>Random / FedAvg (B0)</w:t>
            </w:r>
          </w:p>
        </w:tc>
        <w:tc>
          <w:tcPr>
            <w:tcW w:type="dxa" w:w="2016"/>
            <w:tcMar>
              <w:top w:w="80" w:type="dxa"/>
              <w:bottom w:w="80" w:type="dxa"/>
              <w:left w:w="120" w:type="dxa"/>
              <w:right w:w="120" w:type="dxa"/>
            </w:tcMar>
            <w:shd w:fill="FFFFFF"/>
          </w:tcPr>
          <w:p>
            <w:pPr>
              <w:spacing w:before="40" w:after="40"/>
              <w:jc w:val="right"/>
            </w:pPr>
            <w:r>
              <w:rPr>
                <w:rFonts w:ascii="Times New Roman" w:hAnsi="Times New Roman"/>
                <w:color w:val="1E1E1E"/>
                <w:sz w:val="17"/>
              </w:rPr>
              <w:t>45.53 [44.3, 46.3]</w:t>
            </w:r>
          </w:p>
        </w:tc>
        <w:tc>
          <w:tcPr>
            <w:tcW w:type="dxa" w:w="2016"/>
            <w:tcMar>
              <w:top w:w="80" w:type="dxa"/>
              <w:bottom w:w="80" w:type="dxa"/>
              <w:left w:w="120" w:type="dxa"/>
              <w:right w:w="120" w:type="dxa"/>
            </w:tcMar>
            <w:shd w:fill="FFFFFF"/>
          </w:tcPr>
          <w:p>
            <w:pPr>
              <w:spacing w:before="40" w:after="40"/>
              <w:jc w:val="right"/>
            </w:pPr>
            <w:r>
              <w:rPr>
                <w:rFonts w:ascii="Times New Roman" w:hAnsi="Times New Roman"/>
                <w:color w:val="1E1E1E"/>
                <w:sz w:val="17"/>
              </w:rPr>
              <w:t>40.77 [40.1, 41.4]</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0.0590</w:t>
            </w:r>
          </w:p>
        </w:tc>
        <w:tc>
          <w:tcPr>
            <w:tcW w:type="dxa" w:w="1296"/>
            <w:tcMar>
              <w:top w:w="80" w:type="dxa"/>
              <w:bottom w:w="80" w:type="dxa"/>
              <w:left w:w="120" w:type="dxa"/>
              <w:right w:w="120" w:type="dxa"/>
            </w:tcMar>
            <w:shd w:fill="FFFFFF"/>
          </w:tcPr>
          <w:p>
            <w:pPr>
              <w:spacing w:before="40" w:after="40"/>
              <w:jc w:val="right"/>
            </w:pPr>
            <w:r>
              <w:rPr>
                <w:rFonts w:ascii="Times New Roman" w:hAnsi="Times New Roman"/>
                <w:color w:val="1E1E1E"/>
                <w:sz w:val="17"/>
              </w:rPr>
              <w:t>100.0%</w:t>
            </w:r>
          </w:p>
        </w:tc>
      </w:tr>
      <w:tr>
        <w:tc>
          <w:tcPr>
            <w:tcW w:type="dxa" w:w="1872"/>
            <w:tcMar>
              <w:top w:w="80" w:type="dxa"/>
              <w:bottom w:w="80" w:type="dxa"/>
              <w:left w:w="120" w:type="dxa"/>
              <w:right w:w="120" w:type="dxa"/>
            </w:tcMar>
            <w:shd w:fill="F2F5F9"/>
          </w:tcPr>
          <w:p>
            <w:pPr>
              <w:spacing w:before="40" w:after="40"/>
              <w:jc w:val="left"/>
            </w:pPr>
            <w:r>
              <w:rPr>
                <w:rFonts w:ascii="Times New Roman" w:hAnsi="Times New Roman"/>
                <w:color w:val="1E1E1E"/>
                <w:sz w:val="17"/>
              </w:rPr>
              <w:t>rho = 0.50</w:t>
            </w:r>
          </w:p>
        </w:tc>
        <w:tc>
          <w:tcPr>
            <w:tcW w:type="dxa" w:w="2592"/>
            <w:tcMar>
              <w:top w:w="80" w:type="dxa"/>
              <w:bottom w:w="80" w:type="dxa"/>
              <w:left w:w="120" w:type="dxa"/>
              <w:right w:w="120" w:type="dxa"/>
            </w:tcMar>
            <w:shd w:fill="F2F5F9"/>
          </w:tcPr>
          <w:p>
            <w:pPr>
              <w:spacing w:before="40" w:after="40"/>
              <w:jc w:val="left"/>
            </w:pPr>
            <w:r>
              <w:rPr>
                <w:rFonts w:ascii="Times New Roman" w:hAnsi="Times New Roman"/>
                <w:color w:val="1E1E1E"/>
                <w:sz w:val="17"/>
              </w:rPr>
              <w:t>FedQual-CPX (B8)</w:t>
            </w:r>
          </w:p>
        </w:tc>
        <w:tc>
          <w:tcPr>
            <w:tcW w:type="dxa" w:w="2016"/>
            <w:tcMar>
              <w:top w:w="80" w:type="dxa"/>
              <w:bottom w:w="80" w:type="dxa"/>
              <w:left w:w="120" w:type="dxa"/>
              <w:right w:w="120" w:type="dxa"/>
            </w:tcMar>
            <w:shd w:fill="F2F5F9"/>
          </w:tcPr>
          <w:p>
            <w:pPr>
              <w:spacing w:before="40" w:after="40"/>
              <w:jc w:val="right"/>
            </w:pPr>
            <w:r>
              <w:rPr>
                <w:rFonts w:ascii="Times New Roman" w:hAnsi="Times New Roman"/>
                <w:color w:val="1E1E1E"/>
                <w:sz w:val="17"/>
              </w:rPr>
              <w:t>44.96 [44.8, 45.2]</w:t>
            </w:r>
          </w:p>
        </w:tc>
        <w:tc>
          <w:tcPr>
            <w:tcW w:type="dxa" w:w="2016"/>
            <w:tcMar>
              <w:top w:w="80" w:type="dxa"/>
              <w:bottom w:w="80" w:type="dxa"/>
              <w:left w:w="120" w:type="dxa"/>
              <w:right w:w="120" w:type="dxa"/>
            </w:tcMar>
            <w:shd w:fill="F2F5F9"/>
          </w:tcPr>
          <w:p>
            <w:pPr>
              <w:spacing w:before="40" w:after="40"/>
              <w:jc w:val="right"/>
            </w:pPr>
            <w:r>
              <w:rPr>
                <w:rFonts w:ascii="Times New Roman" w:hAnsi="Times New Roman"/>
                <w:color w:val="1E1E1E"/>
                <w:sz w:val="17"/>
              </w:rPr>
              <w:t>40.23 [39.6, 40.9]</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0.2711</w:t>
            </w:r>
          </w:p>
        </w:tc>
        <w:tc>
          <w:tcPr>
            <w:tcW w:type="dxa" w:w="1296"/>
            <w:tcMar>
              <w:top w:w="80" w:type="dxa"/>
              <w:bottom w:w="80" w:type="dxa"/>
              <w:left w:w="120" w:type="dxa"/>
              <w:right w:w="120" w:type="dxa"/>
            </w:tcMar>
            <w:shd w:fill="F2F5F9"/>
          </w:tcPr>
          <w:p>
            <w:pPr>
              <w:spacing w:before="40" w:after="40"/>
              <w:jc w:val="right"/>
            </w:pPr>
            <w:r>
              <w:rPr>
                <w:rFonts w:ascii="Times New Roman" w:hAnsi="Times New Roman"/>
                <w:color w:val="1E1E1E"/>
                <w:sz w:val="17"/>
              </w:rPr>
              <w:t>100.0%</w:t>
            </w:r>
          </w:p>
        </w:tc>
      </w:tr>
    </w:tbl>
    <w:p>
      <w:pPr>
        <w:spacing w:before="40" w:after="160"/>
        <w:jc w:val="center"/>
      </w:pPr>
      <w:r>
        <w:rPr>
          <w:rFonts w:ascii="Times New Roman" w:hAnsi="Times New Roman"/>
          <w:i/>
          <w:sz w:val="17"/>
        </w:rPr>
        <w:t>Table 6: Empirical verification of the partial observability barrier across sampling ratios rho in {0.05, 0.10, 0.25, 0.36, 0.50} on CIFAR-10 (T=100 rounds, 3 seeds per condition).</w:t>
      </w:r>
    </w:p>
    <w:p>
      <w:pPr>
        <w:spacing w:before="0" w:after="80" w:line="276" w:lineRule="auto"/>
        <w:jc w:val="both"/>
      </w:pPr>
      <w:r>
        <w:rPr>
          <w:rFonts w:ascii="Times New Roman" w:hAnsi="Times New Roman"/>
          <w:b w:val="0"/>
          <w:i w:val="0"/>
        </w:rPr>
        <w:t>Table 6 empirically validates this predicted barrier across the full participation spectrum rho in {0.05, 0.10, 0.25, 0.36, 0.50} on full multi-seed 100-round evaluations (N=100, T=100, 3 seeds per condition). Here, rho* approx 0.36 represents the analytical threshold derived from the renewal delay model where expected post-drift observations first suffice to register a distribution change before training concludes. At severe partial observability (rho = 0.05), Random selection achieves a 5.94% advantage in final accuracy (33.08% vs. 27.14%) because the theoretical detection delay of 220 rounds far exceeds the entire 100-round budget. Doubling observability to rho = 0.10 narrows the deficit to 4.78% (36.58% vs. 31.80%). As sampling density increases toward and past rho*, observation latency contracts from over 200 rounds to under 25 rounds. Consequently, the accuracy deficit narrows monotonically: to 1.06% at rho = 0.25, 1.25% at rho = 0.36, and essentially reaches parity at rho = 0.50 (45.53% vs. 44.96%, a marginal difference of 0.57% with overlapping 95% bootstrap confidence intervals: [44.27, 46.29]% vs. [44.76, 45.16]%). Concurrently, participation Gini inequality under FedQual-CPX drops from 0.5051 at rho = 0.10 down to 0.2711 at rho = 0.50. In practical federated deployments, operating at rho &gt;= 0.36 requires sampling more than a third of the edge population in every cycle, violating standard mobile bandwidth limits. Tracking the full participation spectrum confirms that sequential change detection is structurally impractical under realistic participation regimes.</w:t>
      </w:r>
    </w:p>
    <w:p>
      <w:pPr>
        <w:keepNext/>
        <w:spacing w:before="240" w:after="80"/>
      </w:pPr>
      <w:r>
        <w:rPr>
          <w:rFonts w:ascii="Times New Roman" w:hAnsi="Times New Roman"/>
          <w:b/>
          <w:color w:val="14325A"/>
          <w:sz w:val="24"/>
        </w:rPr>
        <w:t>8. Discussion and Limitations</w:t>
      </w:r>
    </w:p>
    <w:p>
      <w:pPr>
        <w:spacing w:before="0" w:after="80" w:line="276" w:lineRule="auto"/>
        <w:jc w:val="both"/>
      </w:pPr>
      <w:r>
        <w:rPr>
          <w:rFonts w:ascii="Times New Roman" w:hAnsi="Times New Roman"/>
          <w:b w:val="0"/>
          <w:i w:val="0"/>
        </w:rPr>
        <w:t>This study highlights the importance of intellectual honesty when evaluating adaptive algorithms. Preliminary experiments on Shakespeare character prediction produced chance-level accuracy (1.11% = 1/90) due to synthetic tokenization in the absence of raw text files. Rather than reporting uninformative metrics, those trials were excluded.</w:t>
      </w:r>
    </w:p>
    <w:p>
      <w:pPr>
        <w:spacing w:before="0" w:after="80" w:line="276" w:lineRule="auto"/>
        <w:jc w:val="both"/>
      </w:pPr>
      <w:r>
        <w:rPr>
          <w:rFonts w:ascii="Times New Roman" w:hAnsi="Times New Roman"/>
          <w:b w:val="0"/>
          <w:i w:val="0"/>
        </w:rPr>
        <w:t>The CIFAR-10 accuracy ceiling of thirty-two to thirty-six percent reflects a deliberate compute-constrained setting (SmallCNN, one hundred rounds, local batch size thirty-two) designed to enable full multi-seed sweeps across baselines on CPU hardware without altering relative policy rankings. To verify implementation correctness, a sanity reference benchmark was executed using standard FedAvg on near-IID data (alpha = 100.0) without drift across three seeds. Test accuracy reached 45.82% [45.49%, 46.19%], confirming an expected +10% to +13% absolute lift over heterogeneous drift conditions and proving that lower baseline scores stem from non-IID data skew and concept drift rather than implementation bugs.</w:t>
      </w:r>
    </w:p>
    <w:p>
      <w:pPr>
        <w:spacing w:before="0" w:after="80" w:line="276" w:lineRule="auto"/>
        <w:jc w:val="both"/>
      </w:pPr>
      <w:r>
        <w:rPr>
          <w:rFonts w:ascii="Times New Roman" w:hAnsi="Times New Roman"/>
          <w:b w:val="0"/>
          <w:i w:val="0"/>
        </w:rPr>
        <w:t>The findings establish that sequential change detection is not a universal solution for non-stationary federated learning. Practitioners deploying edge models with participation rates below twenty percent should not implement complex change detectors. Uniform random selection provides stronger recovery guarantees without detection overhead.</w:t>
      </w:r>
    </w:p>
    <w:p>
      <w:pPr>
        <w:keepNext/>
        <w:spacing w:before="240" w:after="80"/>
      </w:pPr>
      <w:r>
        <w:rPr>
          <w:rFonts w:ascii="Times New Roman" w:hAnsi="Times New Roman"/>
          <w:b/>
          <w:color w:val="14325A"/>
          <w:sz w:val="24"/>
        </w:rPr>
        <w:t>9. Conclusion</w:t>
      </w:r>
    </w:p>
    <w:p>
      <w:pPr>
        <w:spacing w:before="0" w:after="80" w:line="276" w:lineRule="auto"/>
        <w:jc w:val="both"/>
      </w:pPr>
      <w:r>
        <w:rPr>
          <w:rFonts w:ascii="Times New Roman" w:hAnsi="Times New Roman"/>
          <w:b w:val="0"/>
          <w:i w:val="0"/>
        </w:rPr>
        <w:t>This paper demonstrates why sequential change-point client selection fails under realistic federated learning constraints. Under partial observability, detection delay inflates by the inverse participation ratio, preventing detectors from reacting to drift before training ends. Furthermore, cross-sectional normalization erases common-mode drift across edge clients. Uniform random selection consistently outperforms change-aware selection across CIFAR-10 and EMNIST-ByClass benchmarks while guaranteeing full client coverage. Future work should focus on server-side global loss divergence indicators rather than local sequential client tracking.</w:t>
      </w:r>
    </w:p>
    <w:p>
      <w:pPr>
        <w:keepNext/>
        <w:spacing w:before="240" w:after="80"/>
      </w:pPr>
      <w:r>
        <w:rPr>
          <w:rFonts w:ascii="Times New Roman" w:hAnsi="Times New Roman"/>
          <w:b/>
          <w:color w:val="14325A"/>
          <w:sz w:val="24"/>
        </w:rPr>
        <w:t>References</w:t>
      </w:r>
    </w:p>
    <w:p>
      <w:pPr>
        <w:spacing w:before="20" w:after="40"/>
        <w:ind w:left="360" w:hanging="360"/>
      </w:pPr>
      <w:r>
        <w:rPr>
          <w:rFonts w:ascii="Times New Roman" w:hAnsi="Times New Roman"/>
          <w:sz w:val="17"/>
        </w:rPr>
        <w:t>[1] B. McMahan, E. Moore, D. Ramage, S. Hampson, and B. A. y Arcas, "Communication-efficient learning of deep networks from decentralized data," in Proc. Int. Conf. Artif. Intell. Statist. (AISTATS), 2017, pp. 1273-1282.</w:t>
      </w:r>
    </w:p>
    <w:p>
      <w:pPr>
        <w:spacing w:before="20" w:after="40"/>
        <w:ind w:left="360" w:hanging="360"/>
      </w:pPr>
      <w:r>
        <w:rPr>
          <w:rFonts w:ascii="Times New Roman" w:hAnsi="Times New Roman"/>
          <w:sz w:val="17"/>
        </w:rPr>
        <w:t>[2] F. Lai, X. Zhu, H. V. Madhyastha, and M. Chowdhury, "Oort: Efficient federated learning via guided participant selection," in Proc. USENIX Symp. Oper. Syst. Des. Implementation (OSDI), 2021, pp. 19-35.</w:t>
      </w:r>
    </w:p>
    <w:p>
      <w:pPr>
        <w:spacing w:before="20" w:after="40"/>
        <w:ind w:left="360" w:hanging="360"/>
      </w:pPr>
      <w:r>
        <w:rPr>
          <w:rFonts w:ascii="Times New Roman" w:hAnsi="Times New Roman"/>
          <w:sz w:val="17"/>
        </w:rPr>
        <w:t>[3] T. Li, A. K. Sahu, M. Zaheer, M. Sanjabi, A. Talwalkar, and V. Smith, "Federated optimization in heterogeneous networks," in Proc. Mach. Learn. Syst. (MLSys), vol. 2, 2020, pp. 429-450.</w:t>
      </w:r>
    </w:p>
    <w:p>
      <w:pPr>
        <w:spacing w:before="20" w:after="40"/>
        <w:ind w:left="360" w:hanging="360"/>
      </w:pPr>
      <w:r>
        <w:rPr>
          <w:rFonts w:ascii="Times New Roman" w:hAnsi="Times New Roman"/>
          <w:sz w:val="17"/>
        </w:rPr>
        <w:t>[4] T. Nishio and R. Yonetani, "Client selection for federated learning with heterogeneous resources in mobile edge," in Proc. IEEE Int. Conf. Commun. (ICC), 2019, pp. 1-7.</w:t>
      </w:r>
    </w:p>
    <w:p>
      <w:pPr>
        <w:spacing w:before="20" w:after="40"/>
        <w:ind w:left="360" w:hanging="360"/>
      </w:pPr>
      <w:r>
        <w:rPr>
          <w:rFonts w:ascii="Times New Roman" w:hAnsi="Times New Roman"/>
          <w:sz w:val="17"/>
        </w:rPr>
        <w:t>[5] J. Lu, A. Liu, F. Dong, F. Gu, J. Gama, and G. Zhang, "Learning under concept drift: A review," IEEE Trans. Knowl. Data Eng., vol. 31, no. 12, pp. 2346-2363, 2018.</w:t>
      </w:r>
    </w:p>
    <w:p>
      <w:pPr>
        <w:spacing w:before="20" w:after="40"/>
        <w:ind w:left="360" w:hanging="360"/>
      </w:pPr>
      <w:r>
        <w:rPr>
          <w:rFonts w:ascii="Times New Roman" w:hAnsi="Times New Roman"/>
          <w:sz w:val="17"/>
        </w:rPr>
        <w:t>[6] J. Gama, I. Zliobaite, A. Bifet, M. Pechenizkiy, and A. Bouchachia, "A survey on concept drift adaptation," ACM Comput. Surv., vol. 46, no. 4, pp. 1-37, 2014.</w:t>
      </w:r>
    </w:p>
    <w:p>
      <w:pPr>
        <w:spacing w:before="20" w:after="40"/>
        <w:ind w:left="360" w:hanging="360"/>
      </w:pPr>
      <w:r>
        <w:rPr>
          <w:rFonts w:ascii="Times New Roman" w:hAnsi="Times New Roman"/>
          <w:sz w:val="17"/>
        </w:rPr>
        <w:t>[7] E. S. Page, "Continuous inspection schemes," Biometrika, vol. 41, no. 1/2, pp. 100-115, 1954.</w:t>
      </w:r>
    </w:p>
    <w:p>
      <w:pPr>
        <w:spacing w:before="20" w:after="40"/>
        <w:ind w:left="360" w:hanging="360"/>
      </w:pPr>
      <w:r>
        <w:rPr>
          <w:rFonts w:ascii="Times New Roman" w:hAnsi="Times New Roman"/>
          <w:sz w:val="17"/>
        </w:rPr>
        <w:t>[8] M. Basseville and I. V. Nikiforov, Detection of Abrupt Changes: Theory and Application. Englewood Cliffs, NJ: Prentice Hall, 1993.</w:t>
      </w:r>
    </w:p>
    <w:p>
      <w:pPr>
        <w:spacing w:before="20" w:after="40"/>
        <w:ind w:left="360" w:hanging="360"/>
      </w:pPr>
      <w:r>
        <w:rPr>
          <w:rFonts w:ascii="Times New Roman" w:hAnsi="Times New Roman"/>
          <w:sz w:val="17"/>
        </w:rPr>
        <w:t>[9] P. J. Huber, Robust Statistics. New York: John Wiley &amp; Sons, 1981.</w:t>
      </w:r>
    </w:p>
    <w:p>
      <w:pPr>
        <w:spacing w:before="20" w:after="40"/>
        <w:ind w:left="360" w:hanging="360"/>
      </w:pPr>
      <w:r>
        <w:rPr>
          <w:rFonts w:ascii="Times New Roman" w:hAnsi="Times New Roman"/>
          <w:sz w:val="17"/>
        </w:rPr>
        <w:t>[10] Anonymous, "FedQual-CPX: Experimental repository and benchmark suite," 2026. [Online]. Available: https://anonymous.4open.science/r/FedQual-CPX</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