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df" ContentType="application/pdf"/>
  <Override PartName="/word/media/rId74.pdf" ContentType="application/pdf"/>
  <Override PartName="/word/media/rId75.pdf" ContentType="application/pdf"/>
  <Override PartName="/word/media/rId71.pdf" ContentType="application/pdf"/>
  <Override PartName="/word/media/rId70.pdf" ContentType="application/pdf"/>
  <Override PartName="/word/media/rId73.pdf" ContentType="application/pdf"/>
  <Override PartName="/word/media/rId28.png" ContentType="image/png"/>
  <Override PartName="/word/media/rId27.png" ContentType="image/png"/>
  <Override PartName="/word/media/rId44.png" ContentType="image/png"/>
  <Override PartName="/word/media/rId99.png" ContentType="image/png"/>
  <Override PartName="/word/media/rId100.png" ContentType="image/png"/>
  <Override PartName="/word/media/rId45.png" ContentType="image/png"/>
  <Override PartName="/word/media/rId46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49.png" ContentType="image/png"/>
  <Override PartName="/word/media/rId25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B:</w:t>
      </w:r>
      <w:r>
        <w:t xml:space="preserve"> </w:t>
      </w:r>
      <w:r>
        <w:t xml:space="preserve">NanoString</w:t>
      </w:r>
      <w:r>
        <w:t xml:space="preserve"> </w:t>
      </w:r>
      <w:r>
        <w:t xml:space="preserve">Sample</w:t>
      </w:r>
      <w:r>
        <w:t xml:space="preserve"> </w:t>
      </w:r>
      <w:r>
        <w:t xml:space="preserve">Processing,</w:t>
      </w:r>
      <w:r>
        <w:t xml:space="preserve"> </w:t>
      </w:r>
      <w:r>
        <w:t xml:space="preserve">Prediction,</w:t>
      </w:r>
      <w:r>
        <w:t xml:space="preserve"> </w:t>
      </w:r>
      <w:r>
        <w:t xml:space="preserve">and</w:t>
      </w:r>
      <w:r>
        <w:t xml:space="preserve"> </w:t>
      </w:r>
      <w:r>
        <w:t xml:space="preserve">Modelling</w:t>
      </w:r>
    </w:p>
    <w:p>
      <w:pPr>
        <w:pStyle w:val="Heading1"/>
      </w:pPr>
      <w:bookmarkStart w:id="20" w:name="X309d1a4dbf99b6356c4d9bfbf631485694d9309"/>
      <w:r>
        <w:t xml:space="preserve">B.6 Pre-processing, Batch Effect, QC and Normalization of the NanoString Data</w:t>
      </w:r>
      <w:bookmarkEnd w:id="20"/>
    </w:p>
    <w:p>
      <w:pPr>
        <w:pStyle w:val="Heading2"/>
      </w:pPr>
      <w:bookmarkStart w:id="21" w:name="qc-table"/>
      <w:r>
        <w:t xml:space="preserve">QC Table</w:t>
      </w:r>
      <w:bookmarkEnd w:id="21"/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Sample Quality</w:t>
      </w:r>
      <w:r>
        <w:t xml:space="preserve"> </w:t>
      </w:r>
      <w:r>
        <w:t xml:space="preserve">fails if either</w:t>
      </w:r>
      <w:r>
        <w:t xml:space="preserve"> </w:t>
      </w:r>
      <w:r>
        <w:rPr>
          <w:b/>
        </w:rPr>
        <w:t xml:space="preserve">Limit of Detection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Signal to Noise</w:t>
      </w:r>
      <w:r>
        <w:t xml:space="preserve"> </w:t>
      </w:r>
      <w:r>
        <w:t xml:space="preserve">fail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Overall QC</w:t>
      </w:r>
      <w:r>
        <w:t xml:space="preserve"> </w:t>
      </w:r>
      <w:r>
        <w:t xml:space="preserve">fails if either</w:t>
      </w:r>
      <w:r>
        <w:t xml:space="preserve"> </w:t>
      </w:r>
      <w:r>
        <w:rPr>
          <w:b/>
        </w:rPr>
        <w:t xml:space="preserve">Smallest Positive Control</w:t>
      </w:r>
      <w:r>
        <w:t xml:space="preserve">,</w:t>
      </w:r>
      <w:r>
        <w:t xml:space="preserve"> </w:t>
      </w:r>
      <w:r>
        <w:rPr>
          <w:b/>
        </w:rPr>
        <w:t xml:space="preserve">Imaging</w:t>
      </w:r>
      <w:r>
        <w:t xml:space="preserve">, or</w:t>
      </w:r>
      <w:r>
        <w:t xml:space="preserve"> </w:t>
      </w:r>
      <w:r>
        <w:rPr>
          <w:b/>
        </w:rPr>
        <w:t xml:space="preserve">Linearity</w:t>
      </w:r>
      <w:r>
        <w:t xml:space="preserve"> </w:t>
      </w:r>
      <w:r>
        <w:t xml:space="preserve">fail</w:t>
      </w:r>
    </w:p>
    <w:tbl>
      <w:tblPr>
        <w:tblStyle w:val="Table"/>
        <w:tblW w:type="pct" w:w="4999.999999999999"/>
        <w:tblLook w:firstRow="1"/>
      </w:tblPr>
      <w:tblGrid>
        <w:gridCol w:w="2640"/>
        <w:gridCol w:w="1408"/>
        <w:gridCol w:w="1232"/>
        <w:gridCol w:w="132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USC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Vancouver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Total Samples Run</w:t>
            </w:r>
          </w:p>
        </w:tc>
        <w:tc>
          <w:p>
            <w:pPr>
              <w:pStyle w:val="Compact"/>
              <w:jc w:val="right"/>
            </w:pPr>
            <w:r>
              <w:t xml:space="preserve">5258 (100.0%)</w:t>
            </w:r>
          </w:p>
        </w:tc>
        <w:tc>
          <w:p>
            <w:pPr>
              <w:pStyle w:val="Compact"/>
              <w:jc w:val="right"/>
            </w:pPr>
            <w:r>
              <w:t xml:space="preserve">984 (18.7%)</w:t>
            </w:r>
          </w:p>
        </w:tc>
        <w:tc>
          <w:p>
            <w:pPr>
              <w:pStyle w:val="Compact"/>
              <w:jc w:val="right"/>
            </w:pPr>
            <w:r>
              <w:t xml:space="preserve">1766 (33.6%)</w:t>
            </w:r>
          </w:p>
        </w:tc>
        <w:tc>
          <w:p>
            <w:pPr>
              <w:pStyle w:val="Compact"/>
              <w:jc w:val="right"/>
            </w:pPr>
            <w:r>
              <w:t xml:space="preserve">2508 (47.7%)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Imaging Failures</w:t>
            </w:r>
          </w:p>
        </w:tc>
        <w:tc>
          <w:p>
            <w:pPr>
              <w:pStyle w:val="Compact"/>
              <w:jc w:val="right"/>
            </w:pPr>
            <w:r>
              <w:t xml:space="preserve">11 (0.2%)</w:t>
            </w:r>
          </w:p>
        </w:tc>
        <w:tc>
          <w:p>
            <w:pPr>
              <w:pStyle w:val="Compact"/>
              <w:jc w:val="right"/>
            </w:pPr>
            <w:r>
              <w:t xml:space="preserve">0 (0.0%)</w:t>
            </w:r>
          </w:p>
        </w:tc>
        <w:tc>
          <w:p>
            <w:pPr>
              <w:pStyle w:val="Compact"/>
              <w:jc w:val="right"/>
            </w:pPr>
            <w:r>
              <w:t xml:space="preserve">7 (0.4%)</w:t>
            </w:r>
          </w:p>
        </w:tc>
        <w:tc>
          <w:p>
            <w:pPr>
              <w:pStyle w:val="Compact"/>
              <w:jc w:val="right"/>
            </w:pPr>
            <w:r>
              <w:t xml:space="preserve">4 (0.2%)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Linearity Failures</w:t>
            </w:r>
          </w:p>
        </w:tc>
        <w:tc>
          <w:p>
            <w:pPr>
              <w:pStyle w:val="Compact"/>
              <w:jc w:val="right"/>
            </w:pPr>
            <w:r>
              <w:t xml:space="preserve">15 (0.3%)</w:t>
            </w:r>
          </w:p>
        </w:tc>
        <w:tc>
          <w:p>
            <w:pPr>
              <w:pStyle w:val="Compact"/>
              <w:jc w:val="right"/>
            </w:pPr>
            <w:r>
              <w:t xml:space="preserve">0 (0.0%)</w:t>
            </w:r>
          </w:p>
        </w:tc>
        <w:tc>
          <w:p>
            <w:pPr>
              <w:pStyle w:val="Compact"/>
              <w:jc w:val="right"/>
            </w:pPr>
            <w:r>
              <w:t xml:space="preserve">15 (0.8%)</w:t>
            </w:r>
          </w:p>
        </w:tc>
        <w:tc>
          <w:p>
            <w:pPr>
              <w:pStyle w:val="Compact"/>
              <w:jc w:val="right"/>
            </w:pPr>
            <w:r>
              <w:t xml:space="preserve">0 (0.0%)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Smallest PC Failures</w:t>
            </w:r>
          </w:p>
        </w:tc>
        <w:tc>
          <w:p>
            <w:pPr>
              <w:pStyle w:val="Compact"/>
              <w:jc w:val="right"/>
            </w:pPr>
            <w:r>
              <w:t xml:space="preserve">1 (0.0%)</w:t>
            </w:r>
          </w:p>
        </w:tc>
        <w:tc>
          <w:p>
            <w:pPr>
              <w:pStyle w:val="Compact"/>
              <w:jc w:val="right"/>
            </w:pPr>
            <w:r>
              <w:t xml:space="preserve">0 (0.0%)</w:t>
            </w:r>
          </w:p>
        </w:tc>
        <w:tc>
          <w:p>
            <w:pPr>
              <w:pStyle w:val="Compact"/>
              <w:jc w:val="right"/>
            </w:pPr>
            <w:r>
              <w:t xml:space="preserve">1 (0.1%)</w:t>
            </w:r>
          </w:p>
        </w:tc>
        <w:tc>
          <w:p>
            <w:pPr>
              <w:pStyle w:val="Compact"/>
              <w:jc w:val="right"/>
            </w:pPr>
            <w:r>
              <w:t xml:space="preserve">0 (0.0%)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 of Detection Failures</w:t>
            </w:r>
          </w:p>
        </w:tc>
        <w:tc>
          <w:p>
            <w:pPr>
              <w:pStyle w:val="Compact"/>
              <w:jc w:val="right"/>
            </w:pPr>
            <w:r>
              <w:t xml:space="preserve">289 (5.5%)</w:t>
            </w:r>
          </w:p>
        </w:tc>
        <w:tc>
          <w:p>
            <w:pPr>
              <w:pStyle w:val="Compact"/>
              <w:jc w:val="right"/>
            </w:pPr>
            <w:r>
              <w:t xml:space="preserve">70 (7.1%)</w:t>
            </w:r>
          </w:p>
        </w:tc>
        <w:tc>
          <w:p>
            <w:pPr>
              <w:pStyle w:val="Compact"/>
              <w:jc w:val="right"/>
            </w:pPr>
            <w:r>
              <w:t xml:space="preserve">27 (1.5%)</w:t>
            </w:r>
          </w:p>
        </w:tc>
        <w:tc>
          <w:p>
            <w:pPr>
              <w:pStyle w:val="Compact"/>
              <w:jc w:val="right"/>
            </w:pPr>
            <w:r>
              <w:t xml:space="preserve">192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Signal to Noise Failures</w:t>
            </w:r>
          </w:p>
        </w:tc>
        <w:tc>
          <w:p>
            <w:pPr>
              <w:pStyle w:val="Compact"/>
              <w:jc w:val="right"/>
            </w:pPr>
            <w:r>
              <w:t xml:space="preserve">327 (6.2%)</w:t>
            </w:r>
          </w:p>
        </w:tc>
        <w:tc>
          <w:p>
            <w:pPr>
              <w:pStyle w:val="Compact"/>
              <w:jc w:val="right"/>
            </w:pPr>
            <w:r>
              <w:t xml:space="preserve">80 (8.1%)</w:t>
            </w:r>
          </w:p>
        </w:tc>
        <w:tc>
          <w:p>
            <w:pPr>
              <w:pStyle w:val="Compact"/>
              <w:jc w:val="right"/>
            </w:pPr>
            <w:r>
              <w:t xml:space="preserve">34 (1.9%)</w:t>
            </w:r>
          </w:p>
        </w:tc>
        <w:tc>
          <w:p>
            <w:pPr>
              <w:pStyle w:val="Compact"/>
              <w:jc w:val="right"/>
            </w:pPr>
            <w:r>
              <w:t xml:space="preserve">213 (8.5%)</w:t>
            </w:r>
          </w:p>
        </w:tc>
      </w:tr>
      <w:tr>
        <w:tc>
          <w:p/>
        </w:tc>
        <w:tc>
          <w:p>
            <w:pPr>
              <w:pStyle w:val="Compact"/>
              <w:jc w:val="right"/>
            </w:pPr>
          </w:p>
        </w:tc>
        <w:tc>
          <w:p>
            <w:pPr>
              <w:pStyle w:val="Compact"/>
              <w:jc w:val="right"/>
            </w:pPr>
          </w:p>
        </w:tc>
        <w:tc>
          <w:p>
            <w:pPr>
              <w:pStyle w:val="Compact"/>
              <w:jc w:val="right"/>
            </w:pPr>
          </w:p>
        </w:tc>
        <w:tc>
          <w:p>
            <w:pPr>
              <w:pStyle w:val="Compact"/>
              <w:jc w:val="right"/>
            </w:pP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Sample Quality Failures</w:t>
            </w:r>
          </w:p>
        </w:tc>
        <w:tc>
          <w:p>
            <w:pPr>
              <w:pStyle w:val="Compact"/>
              <w:jc w:val="right"/>
            </w:pPr>
            <w:r>
              <w:t xml:space="preserve">346 (6.6%)</w:t>
            </w:r>
          </w:p>
        </w:tc>
        <w:tc>
          <w:p>
            <w:pPr>
              <w:pStyle w:val="Compact"/>
              <w:jc w:val="right"/>
            </w:pPr>
            <w:r>
              <w:t xml:space="preserve">92 (9.3%)</w:t>
            </w:r>
          </w:p>
        </w:tc>
        <w:tc>
          <w:p>
            <w:pPr>
              <w:pStyle w:val="Compact"/>
              <w:jc w:val="right"/>
            </w:pPr>
            <w:r>
              <w:t xml:space="preserve">35 (2.0%)</w:t>
            </w:r>
          </w:p>
        </w:tc>
        <w:tc>
          <w:p>
            <w:pPr>
              <w:pStyle w:val="Compact"/>
              <w:jc w:val="right"/>
            </w:pPr>
            <w:r>
              <w:t xml:space="preserve">219 (8.7%)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Overall QC Failures</w:t>
            </w:r>
          </w:p>
        </w:tc>
        <w:tc>
          <w:p>
            <w:pPr>
              <w:pStyle w:val="Compact"/>
              <w:jc w:val="right"/>
            </w:pPr>
            <w:r>
              <w:t xml:space="preserve">22 (0.4%)</w:t>
            </w:r>
          </w:p>
        </w:tc>
        <w:tc>
          <w:p>
            <w:pPr>
              <w:pStyle w:val="Compact"/>
              <w:jc w:val="right"/>
            </w:pPr>
            <w:r>
              <w:t xml:space="preserve">0 (0.0%)</w:t>
            </w:r>
          </w:p>
        </w:tc>
        <w:tc>
          <w:p>
            <w:pPr>
              <w:pStyle w:val="Compact"/>
              <w:jc w:val="right"/>
            </w:pPr>
            <w:r>
              <w:t xml:space="preserve">18 (1.0%)</w:t>
            </w:r>
          </w:p>
        </w:tc>
        <w:tc>
          <w:p>
            <w:pPr>
              <w:pStyle w:val="Compact"/>
              <w:jc w:val="right"/>
            </w:pPr>
            <w:r>
              <w:t xml:space="preserve">4 (0.2%)</w:t>
            </w:r>
          </w:p>
        </w:tc>
      </w:tr>
    </w:tbl>
    <w:p>
      <w:pPr>
        <w:pStyle w:val="Heading2"/>
      </w:pPr>
      <w:bookmarkStart w:id="22" w:name="signalnoise-vs-genes-detected"/>
      <w:r>
        <w:t xml:space="preserve">Signal/Noise vs % Genes Detected</w:t>
      </w:r>
      <w:bookmarkEnd w:id="22"/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snr_vs_perg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reference-pools-over-time"/>
      <w:r>
        <w:t xml:space="preserve">Reference Pools Over Time</w:t>
      </w:r>
      <w:bookmarkEnd w:id="24"/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pools_gx_tim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Xb62183d44bca0ce32a88dda23ee2979130da675"/>
      <w:r>
        <w:t xml:space="preserve">Data Consistency of Cross-Site Controls Across Sites</w:t>
      </w:r>
      <w:bookmarkEnd w:id="26"/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cc_hi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Concordance Measures:</w:t>
      </w:r>
    </w:p>
    <w:p>
      <w:pPr>
        <w:pStyle w:val="Compact"/>
        <w:numPr>
          <w:numId w:val="1002"/>
          <w:ilvl w:val="0"/>
        </w:numPr>
      </w:pPr>
      <w:r>
        <w:t xml:space="preserve">Ca: coefficient of accuracy</w:t>
      </w:r>
    </w:p>
    <w:p>
      <w:pPr>
        <w:pStyle w:val="Compact"/>
        <w:numPr>
          <w:numId w:val="1002"/>
          <w:ilvl w:val="0"/>
        </w:numPr>
      </w:pPr>
      <w:r>
        <w:t xml:space="preserve">R2: squared Pearson’s correlation coefficient</w:t>
      </w:r>
    </w:p>
    <w:p>
      <w:pPr>
        <w:pStyle w:val="Compact"/>
        <w:numPr>
          <w:numId w:val="1002"/>
          <w:ilvl w:val="0"/>
        </w:numPr>
      </w:pPr>
      <w:r>
        <w:t xml:space="preserve">Rc: Lin’s concordance correlation</w:t>
      </w:r>
    </w:p>
    <w:p>
      <w:pPr>
        <w:pStyle w:val="FirstParagraph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avg_scatt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X83463ae0ef7f40c9a19f31480a7683c9a45e1a0"/>
      <w:r>
        <w:t xml:space="preserve">B.7 Subtype Assignment in the NanoString Data</w:t>
      </w:r>
      <w:bookmarkEnd w:id="29"/>
    </w:p>
    <w:p>
      <w:pPr>
        <w:pStyle w:val="Heading2"/>
      </w:pPr>
      <w:bookmarkStart w:id="30" w:name="agreement-between-all-array-and-tcga"/>
      <w:r>
        <w:t xml:space="preserve">Agreement between All-Array and TCGA</w:t>
      </w:r>
      <w:bookmarkEnd w:id="30"/>
    </w:p>
    <w:p>
      <w:pPr>
        <w:pStyle w:val="Heading3"/>
      </w:pPr>
      <w:bookmarkStart w:id="31" w:name="a---confusion-matrix"/>
      <w:r>
        <w:t xml:space="preserve">A - Confusion Matrix</w:t>
      </w:r>
      <w:bookmarkEnd w:id="31"/>
    </w:p>
    <w:tbl>
      <w:tblPr>
        <w:tblStyle w:val="Table"/>
        <w:tblW w:type="pct" w:w="4930.555555555556"/>
        <w:tblLook w:firstRow="0"/>
      </w:tblPr>
      <w:tblGrid>
        <w:gridCol w:w="1980"/>
        <w:gridCol w:w="1870"/>
        <w:gridCol w:w="990"/>
        <w:gridCol w:w="990"/>
        <w:gridCol w:w="990"/>
        <w:gridCol w:w="990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Predicted TCGA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Array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922</w:t>
            </w:r>
          </w:p>
        </w:tc>
        <w:tc>
          <w:p>
            <w:pPr>
              <w:pStyle w:val="Compact"/>
              <w:jc w:val="center"/>
            </w:pPr>
            <w:r>
              <w:t xml:space="preserve">94</w:t>
            </w:r>
          </w:p>
        </w:tc>
        <w:tc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p>
            <w:pPr>
              <w:pStyle w:val="Compact"/>
              <w:jc w:val="center"/>
            </w:pPr>
            <w:r>
              <w:t xml:space="preserve">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149</w:t>
            </w:r>
          </w:p>
        </w:tc>
        <w:tc>
          <w:p>
            <w:pPr>
              <w:pStyle w:val="Compact"/>
              <w:jc w:val="center"/>
            </w:pPr>
            <w:r>
              <w:t xml:space="preserve">619</w:t>
            </w:r>
          </w:p>
        </w:tc>
        <w:tc>
          <w:p>
            <w:pPr>
              <w:pStyle w:val="Compact"/>
              <w:jc w:val="center"/>
            </w:pPr>
            <w:r>
              <w:t xml:space="preserve">148</w:t>
            </w:r>
          </w:p>
        </w:tc>
        <w:tc>
          <w:p>
            <w:pPr>
              <w:pStyle w:val="Compact"/>
              <w:jc w:val="center"/>
            </w:pPr>
            <w:r>
              <w:t xml:space="preserve">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170</w:t>
            </w:r>
          </w:p>
        </w:tc>
        <w:tc>
          <w:p>
            <w:pPr>
              <w:pStyle w:val="Compact"/>
              <w:jc w:val="center"/>
            </w:pPr>
            <w:r>
              <w:t xml:space="preserve">923</w:t>
            </w:r>
          </w:p>
        </w:tc>
        <w:tc>
          <w:p>
            <w:pPr>
              <w:pStyle w:val="Compact"/>
              <w:jc w:val="center"/>
            </w:pPr>
            <w:r>
              <w:t xml:space="preserve">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p>
            <w:pPr>
              <w:pStyle w:val="Compact"/>
              <w:jc w:val="center"/>
            </w:pPr>
            <w:r>
              <w:t xml:space="preserve">63</w:t>
            </w:r>
          </w:p>
        </w:tc>
        <w:tc>
          <w:p>
            <w:pPr>
              <w:pStyle w:val="Compact"/>
              <w:jc w:val="center"/>
            </w:pPr>
            <w:r>
              <w:t xml:space="preserve">566</w:t>
            </w:r>
          </w:p>
        </w:tc>
      </w:tr>
    </w:tbl>
    <w:p>
      <w:pPr>
        <w:pStyle w:val="Heading3"/>
      </w:pPr>
      <w:bookmarkStart w:id="32" w:name="b---overall-metrics"/>
      <w:r>
        <w:t xml:space="preserve">B - Overall Metrics</w:t>
      </w:r>
      <w:bookmarkEnd w:id="32"/>
    </w:p>
    <w:p>
      <w:pPr>
        <w:pStyle w:val="FirstParagraph"/>
      </w:pPr>
      <w:r>
        <w:t xml:space="preserve">Cohen’s Kappa measures inter-rater agreement while taking into account the expected values and agreement by random chance.</w:t>
      </w:r>
    </w:p>
    <w:tbl>
      <w:tblPr>
        <w:tblStyle w:val="Table"/>
        <w:tblW w:type="pct" w:w="2847.222222222222"/>
        <w:tblLook w:firstRow="1"/>
      </w:tblPr>
      <w:tblGrid>
        <w:gridCol w:w="1210"/>
        <w:gridCol w:w="220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0.79 (0.78 - 0.8)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0.72 (0.7 - 0.74)</w:t>
            </w:r>
          </w:p>
        </w:tc>
        <w:tc>
          <w:p/>
        </w:tc>
      </w:tr>
    </w:tbl>
    <w:p>
      <w:pPr>
        <w:pStyle w:val="Heading3"/>
      </w:pPr>
      <w:bookmarkStart w:id="33" w:name="c---by-class-metrics"/>
      <w:r>
        <w:t xml:space="preserve">C - By-Class Metrics</w:t>
      </w:r>
      <w:bookmarkEnd w:id="33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0.84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0.85</w:t>
            </w:r>
          </w:p>
        </w:tc>
        <w:tc>
          <w:p>
            <w:pPr>
              <w:pStyle w:val="Compact"/>
              <w:jc w:val="center"/>
            </w:pPr>
            <w:r>
              <w:t xml:space="preserve">0.28</w:t>
            </w:r>
          </w:p>
        </w:tc>
        <w:tc>
          <w:p>
            <w:pPr>
              <w:pStyle w:val="Compact"/>
              <w:jc w:val="center"/>
            </w:pPr>
            <w:r>
              <w:t xml:space="preserve">0.89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0.69</w:t>
            </w:r>
          </w:p>
        </w:tc>
        <w:tc>
          <w:p>
            <w:pPr>
              <w:pStyle w:val="Compact"/>
              <w:jc w:val="center"/>
            </w:pPr>
            <w:r>
              <w:t xml:space="preserve">0.88</w:t>
            </w:r>
          </w:p>
        </w:tc>
        <w:tc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p>
            <w:pPr>
              <w:pStyle w:val="Compact"/>
              <w:jc w:val="center"/>
            </w:pPr>
            <w:r>
              <w:t xml:space="preserve">0.90</w:t>
            </w:r>
          </w:p>
        </w:tc>
        <w:tc>
          <w:p>
            <w:pPr>
              <w:pStyle w:val="Compact"/>
              <w:jc w:val="center"/>
            </w:pPr>
            <w:r>
              <w:t xml:space="preserve">0.67</w:t>
            </w:r>
          </w:p>
        </w:tc>
        <w:tc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p>
            <w:pPr>
              <w:pStyle w:val="Compact"/>
              <w:jc w:val="center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0.80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0.82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0.81</w:t>
            </w:r>
          </w:p>
        </w:tc>
        <w:tc>
          <w:p>
            <w:pPr>
              <w:pStyle w:val="Compact"/>
              <w:jc w:val="center"/>
            </w:pPr>
            <w:r>
              <w:t xml:space="preserve">0.30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0.82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0.85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0.84</w:t>
            </w:r>
          </w:p>
        </w:tc>
        <w:tc>
          <w:p>
            <w:pPr>
              <w:pStyle w:val="Compact"/>
              <w:jc w:val="center"/>
            </w:pPr>
            <w:r>
              <w:t xml:space="preserve">0.17</w:t>
            </w:r>
          </w:p>
        </w:tc>
        <w:tc>
          <w:p>
            <w:pPr>
              <w:pStyle w:val="Compact"/>
              <w:jc w:val="center"/>
            </w:pPr>
            <w:r>
              <w:t xml:space="preserve">0.90</w:t>
            </w:r>
          </w:p>
        </w:tc>
      </w:tr>
    </w:tbl>
    <w:p>
      <w:pPr>
        <w:pStyle w:val="Heading2"/>
      </w:pPr>
      <w:bookmarkStart w:id="34" w:name="predictive-entropy"/>
      <w:r>
        <w:t xml:space="preserve">Predictive Entropy</w:t>
      </w:r>
      <w:bookmarkEnd w:id="34"/>
    </w:p>
    <w:p>
      <w:pPr>
        <w:pStyle w:val="Heading3"/>
      </w:pPr>
      <w:bookmarkStart w:id="35" w:name="mann-whitney-u-test"/>
      <w:r>
        <w:t xml:space="preserve">Mann-Whitney U Test</w:t>
      </w:r>
      <w:bookmarkEnd w:id="35"/>
    </w:p>
    <w:p>
      <w:pPr>
        <w:pStyle w:val="FirstParagraph"/>
      </w:pPr>
      <w:r>
        <w:t xml:space="preserve">The null hypothesis tested within each data source is that a randomly sampled entropy score from samples with prediction agreement will be less than or greater than a randomly sampled entropy score with prediction disagreement with equal probability.</w:t>
      </w:r>
    </w:p>
    <w:p>
      <w:pPr>
        <w:pStyle w:val="Heading4"/>
      </w:pPr>
      <w:bookmarkStart w:id="36" w:name="all-array-entropies"/>
      <w:r>
        <w:t xml:space="preserve">All-Array Entropies</w:t>
      </w:r>
      <w:bookmarkEnd w:id="36"/>
    </w:p>
    <w:tbl>
      <w:tblPr>
        <w:tblStyle w:val="Table"/>
        <w:tblW w:type="pct" w:w="4722.222222222222"/>
        <w:tblLook w:firstRow="1"/>
      </w:tblPr>
      <w:tblGrid>
        <w:gridCol w:w="1320"/>
        <w:gridCol w:w="1320"/>
        <w:gridCol w:w="330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643554</w:t>
            </w:r>
          </w:p>
        </w:tc>
        <w:tc>
          <w:p>
            <w:pPr>
              <w:pStyle w:val="Compact"/>
              <w:jc w:val="center"/>
            </w:pPr>
            <w:r>
              <w:t xml:space="preserve">1.846e-92</w:t>
            </w:r>
          </w:p>
        </w:tc>
        <w:tc>
          <w:p>
            <w:pPr>
              <w:pStyle w:val="Compact"/>
              <w:jc w:val="center"/>
            </w:pPr>
            <w:r>
              <w:t xml:space="preserve">Wilcoxon rank sum test with</w:t>
            </w:r>
            <w:r>
              <w:t xml:space="preserve"> </w:t>
            </w:r>
            <w:r>
              <w:t xml:space="preserve">continuity correction</w:t>
            </w:r>
          </w:p>
        </w:tc>
        <w:tc>
          <w:p>
            <w:pPr>
              <w:pStyle w:val="Compact"/>
              <w:jc w:val="center"/>
            </w:pPr>
            <w:r>
              <w:t xml:space="preserve">two.sided</w:t>
            </w:r>
          </w:p>
        </w:tc>
      </w:tr>
    </w:tbl>
    <w:p>
      <w:pPr>
        <w:pStyle w:val="Heading4"/>
      </w:pPr>
      <w:bookmarkStart w:id="37" w:name="tcga-entropies"/>
      <w:r>
        <w:t xml:space="preserve">TCGA Entropies</w:t>
      </w:r>
      <w:bookmarkEnd w:id="37"/>
    </w:p>
    <w:tbl>
      <w:tblPr>
        <w:tblStyle w:val="Table"/>
        <w:tblW w:type="pct" w:w="4791.666666666666"/>
        <w:tblLook w:firstRow="1"/>
      </w:tblPr>
      <w:tblGrid>
        <w:gridCol w:w="1320"/>
        <w:gridCol w:w="1430"/>
        <w:gridCol w:w="330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525466</w:t>
            </w:r>
          </w:p>
        </w:tc>
        <w:tc>
          <w:p>
            <w:pPr>
              <w:pStyle w:val="Compact"/>
              <w:jc w:val="center"/>
            </w:pPr>
            <w:r>
              <w:t xml:space="preserve">4.339e-134</w:t>
            </w:r>
          </w:p>
        </w:tc>
        <w:tc>
          <w:p>
            <w:pPr>
              <w:pStyle w:val="Compact"/>
              <w:jc w:val="center"/>
            </w:pPr>
            <w:r>
              <w:t xml:space="preserve">Wilcoxon rank sum test with</w:t>
            </w:r>
            <w:r>
              <w:t xml:space="preserve"> </w:t>
            </w:r>
            <w:r>
              <w:t xml:space="preserve">continuity correction</w:t>
            </w:r>
          </w:p>
        </w:tc>
        <w:tc>
          <w:p>
            <w:pPr>
              <w:pStyle w:val="Compact"/>
              <w:jc w:val="center"/>
            </w:pPr>
            <w:r>
              <w:t xml:space="preserve">two.sided</w:t>
            </w:r>
          </w:p>
        </w:tc>
      </w:tr>
    </w:tbl>
    <w:p>
      <w:pPr>
        <w:pStyle w:val="Heading3"/>
      </w:pPr>
      <w:bookmarkStart w:id="38" w:name="Xd41ed934b792d9350e88a7400cc933b60dbf06c"/>
      <w:r>
        <w:t xml:space="preserve">Entropy Plots on the entire NanoString data</w:t>
      </w:r>
      <w:bookmarkEnd w:id="38"/>
    </w:p>
    <w:p>
      <w:pPr>
        <w:pStyle w:val="Heading4"/>
      </w:pPr>
      <w:bookmarkStart w:id="39" w:name="scatterplot-comparison"/>
      <w:r>
        <w:t xml:space="preserve">Scatterplot Comparison</w:t>
      </w:r>
      <w:bookmarkEnd w:id="39"/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scatterplot_agre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scatterplot_pred_a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scatterplot_pred_tcg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3" w:name="boxplot-comparison"/>
      <w:r>
        <w:t xml:space="preserve">Boxplot Comparison</w:t>
      </w:r>
      <w:bookmarkEnd w:id="43"/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boxplot_agre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boxplot_pred_a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boxplot_pred_tcg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urvival"/>
      <w:r>
        <w:t xml:space="preserve">Survival</w:t>
      </w:r>
      <w:bookmarkEnd w:id="47"/>
    </w:p>
    <w:p>
      <w:pPr>
        <w:pStyle w:val="FirstParagraph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km_all_arra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km_tcg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km_con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km_disc_all_arra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km_disc_tcg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3" w:name="Xafbb3585cc2e467f75c98995aab96227efe700a"/>
      <w:r>
        <w:t xml:space="preserve">B.8 Platform Portability of the Array Classifier</w:t>
      </w:r>
      <w:bookmarkEnd w:id="53"/>
    </w:p>
    <w:p>
      <w:pPr>
        <w:pStyle w:val="Heading2"/>
      </w:pPr>
      <w:bookmarkStart w:id="54" w:name="X142e0d302c086fde6b6517b61c2b8592f052cd5"/>
      <w:r>
        <w:rPr>
          <w:i/>
        </w:rPr>
        <w:t xml:space="preserve">Table SB4:</w:t>
      </w:r>
      <w:r>
        <w:t xml:space="preserve"> </w:t>
      </w:r>
      <w:r>
        <w:t xml:space="preserve">All-array model portability comparing predictions on NanoString to predictions on Array.</w:t>
      </w:r>
      <w:bookmarkEnd w:id="54"/>
    </w:p>
    <w:p>
      <w:pPr>
        <w:pStyle w:val="Heading3"/>
      </w:pPr>
      <w:bookmarkStart w:id="55" w:name="a---confusion-matrix-1"/>
      <w:r>
        <w:t xml:space="preserve">A - Confusion Matrix</w:t>
      </w:r>
      <w:bookmarkEnd w:id="55"/>
    </w:p>
    <w:tbl>
      <w:tblPr>
        <w:tblStyle w:val="Table"/>
        <w:tblW w:type="pct" w:w="5000.0"/>
        <w:tblLook w:firstRow="0"/>
      </w:tblPr>
      <w:tblGrid>
        <w:gridCol w:w="2548"/>
        <w:gridCol w:w="2093"/>
        <w:gridCol w:w="819"/>
        <w:gridCol w:w="819"/>
        <w:gridCol w:w="819"/>
        <w:gridCol w:w="819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Predicted from Array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from NanoString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</w:tbl>
    <w:p>
      <w:pPr>
        <w:pStyle w:val="Heading3"/>
      </w:pPr>
      <w:bookmarkStart w:id="56" w:name="b---overall-metrics-1"/>
      <w:r>
        <w:t xml:space="preserve">B - Overall Metrics</w:t>
      </w:r>
      <w:bookmarkEnd w:id="56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0.72 (0.62 - 0.81)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0.63 (0.51 - 0.75)</w:t>
            </w:r>
          </w:p>
        </w:tc>
        <w:tc>
          <w:p/>
        </w:tc>
      </w:tr>
    </w:tbl>
    <w:p>
      <w:pPr>
        <w:pStyle w:val="Heading3"/>
      </w:pPr>
      <w:bookmarkStart w:id="57" w:name="c---by-class-metrics-1"/>
      <w:r>
        <w:t xml:space="preserve">C - By-Class Metrics</w:t>
      </w:r>
      <w:bookmarkEnd w:id="57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0.75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  <w:tc>
          <w:p>
            <w:pPr>
              <w:pStyle w:val="Compact"/>
              <w:jc w:val="center"/>
            </w:pPr>
            <w:r>
              <w:t xml:space="preserve">0.78</w:t>
            </w:r>
          </w:p>
        </w:tc>
        <w:tc>
          <w:p>
            <w:pPr>
              <w:pStyle w:val="Compact"/>
              <w:jc w:val="center"/>
            </w:pPr>
            <w:r>
              <w:t xml:space="preserve">0.90</w:t>
            </w:r>
          </w:p>
        </w:tc>
        <w:tc>
          <w:p>
            <w:pPr>
              <w:pStyle w:val="Compact"/>
              <w:jc w:val="center"/>
            </w:pPr>
            <w:r>
              <w:t xml:space="preserve">0.76</w:t>
            </w:r>
          </w:p>
        </w:tc>
        <w:tc>
          <w:p>
            <w:pPr>
              <w:pStyle w:val="Compact"/>
              <w:jc w:val="center"/>
            </w:pPr>
            <w:r>
              <w:t xml:space="preserve">0.28</w:t>
            </w:r>
          </w:p>
        </w:tc>
        <w:tc>
          <w:p>
            <w:pPr>
              <w:pStyle w:val="Compact"/>
              <w:jc w:val="center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0.59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0.68</w:t>
            </w:r>
          </w:p>
        </w:tc>
        <w:tc>
          <w:p>
            <w:pPr>
              <w:pStyle w:val="Compact"/>
              <w:jc w:val="center"/>
            </w:pPr>
            <w:r>
              <w:t xml:space="preserve">0.88</w:t>
            </w:r>
          </w:p>
        </w:tc>
        <w:tc>
          <w:p>
            <w:pPr>
              <w:pStyle w:val="Compact"/>
              <w:jc w:val="center"/>
            </w:pPr>
            <w:r>
              <w:t xml:space="preserve">0.63</w:t>
            </w:r>
          </w:p>
        </w:tc>
        <w:tc>
          <w:p>
            <w:pPr>
              <w:pStyle w:val="Compact"/>
              <w:jc w:val="center"/>
            </w:pPr>
            <w:r>
              <w:t xml:space="preserve">0.20</w:t>
            </w:r>
          </w:p>
        </w:tc>
        <w:tc>
          <w:p>
            <w:pPr>
              <w:pStyle w:val="Compact"/>
              <w:jc w:val="center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0.77</w:t>
            </w:r>
          </w:p>
        </w:tc>
        <w:tc>
          <w:p>
            <w:pPr>
              <w:pStyle w:val="Compact"/>
              <w:jc w:val="center"/>
            </w:pPr>
            <w:r>
              <w:t xml:space="preserve">0.87</w:t>
            </w:r>
          </w:p>
        </w:tc>
        <w:tc>
          <w:p>
            <w:pPr>
              <w:pStyle w:val="Compact"/>
              <w:jc w:val="center"/>
            </w:pPr>
            <w:r>
              <w:t xml:space="preserve">0.69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  <w:tc>
          <w:p>
            <w:pPr>
              <w:pStyle w:val="Compact"/>
              <w:jc w:val="center"/>
            </w:pPr>
            <w:r>
              <w:t xml:space="preserve">0.73</w:t>
            </w:r>
          </w:p>
        </w:tc>
        <w:tc>
          <w:p>
            <w:pPr>
              <w:pStyle w:val="Compact"/>
              <w:jc w:val="center"/>
            </w:pPr>
            <w:r>
              <w:t xml:space="preserve">0.30</w:t>
            </w:r>
          </w:p>
        </w:tc>
        <w:tc>
          <w:p>
            <w:pPr>
              <w:pStyle w:val="Compact"/>
              <w:jc w:val="center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0.76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0.73</w:t>
            </w:r>
          </w:p>
        </w:tc>
        <w:tc>
          <w:p>
            <w:pPr>
              <w:pStyle w:val="Compact"/>
              <w:jc w:val="center"/>
            </w:pPr>
            <w:r>
              <w:t xml:space="preserve">0.93</w:t>
            </w:r>
          </w:p>
        </w:tc>
        <w:tc>
          <w:p>
            <w:pPr>
              <w:pStyle w:val="Compact"/>
              <w:jc w:val="center"/>
            </w:pPr>
            <w:r>
              <w:t xml:space="preserve">0.74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0.84</w:t>
            </w:r>
          </w:p>
        </w:tc>
      </w:tr>
    </w:tbl>
    <w:p>
      <w:pPr>
        <w:pStyle w:val="Heading2"/>
      </w:pPr>
      <w:bookmarkStart w:id="58" w:name="X016d006b2944c43527b0e91fa29d83405dce668"/>
      <w:r>
        <w:rPr>
          <w:i/>
        </w:rPr>
        <w:t xml:space="preserve">Table SB5:</w:t>
      </w:r>
      <w:r>
        <w:t xml:space="preserve"> </w:t>
      </w:r>
      <w:r>
        <w:t xml:space="preserve">TCGA model portability comparing predictions on NanoString to predictions on Array.</w:t>
      </w:r>
      <w:bookmarkEnd w:id="58"/>
    </w:p>
    <w:p>
      <w:pPr>
        <w:pStyle w:val="Heading3"/>
      </w:pPr>
      <w:bookmarkStart w:id="59" w:name="a---confusion-matrix-2"/>
      <w:r>
        <w:t xml:space="preserve">A - Confusion Matrix</w:t>
      </w:r>
      <w:bookmarkEnd w:id="59"/>
    </w:p>
    <w:tbl>
      <w:tblPr>
        <w:tblStyle w:val="Table"/>
        <w:tblW w:type="pct" w:w="5000.0"/>
        <w:tblLook w:firstRow="0"/>
      </w:tblPr>
      <w:tblGrid>
        <w:gridCol w:w="2548"/>
        <w:gridCol w:w="2093"/>
        <w:gridCol w:w="819"/>
        <w:gridCol w:w="819"/>
        <w:gridCol w:w="819"/>
        <w:gridCol w:w="819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Predicted from Array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from NanoString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18</w:t>
            </w:r>
          </w:p>
        </w:tc>
      </w:tr>
    </w:tbl>
    <w:p>
      <w:pPr>
        <w:pStyle w:val="Heading3"/>
      </w:pPr>
      <w:bookmarkStart w:id="60" w:name="b---overall-metrics-2"/>
      <w:r>
        <w:t xml:space="preserve">B - Overall Metrics</w:t>
      </w:r>
      <w:bookmarkEnd w:id="60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0.76 (0.66 - 0.85)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0.68 (0.56 - 0.8)</w:t>
            </w:r>
          </w:p>
        </w:tc>
        <w:tc>
          <w:p/>
        </w:tc>
      </w:tr>
    </w:tbl>
    <w:p>
      <w:pPr>
        <w:pStyle w:val="Heading3"/>
      </w:pPr>
      <w:bookmarkStart w:id="61" w:name="c---by-class-metrics-2"/>
      <w:r>
        <w:t xml:space="preserve">C - By-Class Metrics</w:t>
      </w:r>
      <w:bookmarkEnd w:id="61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0.81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p>
            <w:pPr>
              <w:pStyle w:val="Compact"/>
              <w:jc w:val="center"/>
            </w:pPr>
            <w:r>
              <w:t xml:space="preserve">0.31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0.41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0.64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p>
            <w:pPr>
              <w:pStyle w:val="Compact"/>
              <w:jc w:val="center"/>
            </w:pPr>
            <w:r>
              <w:t xml:space="preserve">0.50</w:t>
            </w:r>
          </w:p>
        </w:tc>
        <w:tc>
          <w:p>
            <w:pPr>
              <w:pStyle w:val="Compact"/>
              <w:jc w:val="center"/>
            </w:pPr>
            <w:r>
              <w:t xml:space="preserve">0.13</w:t>
            </w:r>
          </w:p>
        </w:tc>
        <w:tc>
          <w:p>
            <w:pPr>
              <w:pStyle w:val="Compact"/>
              <w:jc w:val="center"/>
            </w:pPr>
            <w:r>
              <w:t xml:space="preserve">0.68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0.83</w:t>
            </w:r>
          </w:p>
        </w:tc>
        <w:tc>
          <w:p>
            <w:pPr>
              <w:pStyle w:val="Compact"/>
              <w:jc w:val="center"/>
            </w:pPr>
            <w:r>
              <w:t xml:space="preserve">0.85</w:t>
            </w:r>
          </w:p>
        </w:tc>
        <w:tc>
          <w:p>
            <w:pPr>
              <w:pStyle w:val="Compact"/>
              <w:jc w:val="center"/>
            </w:pPr>
            <w:r>
              <w:t xml:space="preserve">0.68</w:t>
            </w:r>
          </w:p>
        </w:tc>
        <w:tc>
          <w:p>
            <w:pPr>
              <w:pStyle w:val="Compact"/>
              <w:jc w:val="center"/>
            </w:pPr>
            <w:r>
              <w:t xml:space="preserve">0.93</w:t>
            </w:r>
          </w:p>
        </w:tc>
        <w:tc>
          <w:p>
            <w:pPr>
              <w:pStyle w:val="Compact"/>
              <w:jc w:val="center"/>
            </w:pPr>
            <w:r>
              <w:t xml:space="preserve">0.75</w:t>
            </w:r>
          </w:p>
        </w:tc>
        <w:tc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p>
            <w:pPr>
              <w:pStyle w:val="Compact"/>
              <w:jc w:val="center"/>
            </w:pPr>
            <w:r>
              <w:t xml:space="preserve">0.84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0.82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0.90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p>
            <w:pPr>
              <w:pStyle w:val="Compact"/>
              <w:jc w:val="center"/>
            </w:pPr>
            <w:r>
              <w:t xml:space="preserve">0.24</w:t>
            </w:r>
          </w:p>
        </w:tc>
        <w:tc>
          <w:p>
            <w:pPr>
              <w:pStyle w:val="Compact"/>
              <w:jc w:val="center"/>
            </w:pPr>
            <w:r>
              <w:t xml:space="preserve">0.89</w:t>
            </w:r>
          </w:p>
        </w:tc>
      </w:tr>
    </w:tbl>
    <w:p>
      <w:pPr>
        <w:pStyle w:val="Heading2"/>
      </w:pPr>
      <w:bookmarkStart w:id="62" w:name="Xc6b2b004f2eedc989557ff67ec58e0047a133dc"/>
      <w:r>
        <w:rPr>
          <w:i/>
        </w:rPr>
        <w:t xml:space="preserve">Table SB6:</w:t>
      </w:r>
      <w:r>
        <w:t xml:space="preserve">: Comparing consensus samples predictions with published labels.</w:t>
      </w:r>
      <w:bookmarkEnd w:id="62"/>
    </w:p>
    <w:p>
      <w:pPr>
        <w:pStyle w:val="Heading3"/>
      </w:pPr>
      <w:bookmarkStart w:id="63" w:name="a---confusion-matrix-3"/>
      <w:r>
        <w:t xml:space="preserve">A - Confusion Matrix</w:t>
      </w:r>
      <w:bookmarkEnd w:id="63"/>
    </w:p>
    <w:tbl>
      <w:tblPr>
        <w:tblStyle w:val="Table"/>
        <w:tblW w:type="pct" w:w="4999.999999999999"/>
        <w:tblLook w:firstRow="0"/>
      </w:tblPr>
      <w:tblGrid>
        <w:gridCol w:w="2033"/>
        <w:gridCol w:w="2033"/>
        <w:gridCol w:w="963"/>
        <w:gridCol w:w="963"/>
        <w:gridCol w:w="963"/>
        <w:gridCol w:w="963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Published Labels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Consensus Labels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</w:tbl>
    <w:p>
      <w:pPr>
        <w:pStyle w:val="Heading3"/>
      </w:pPr>
      <w:bookmarkStart w:id="64" w:name="b---overall-metrics-3"/>
      <w:r>
        <w:t xml:space="preserve">B - Overall Metrics</w:t>
      </w:r>
      <w:bookmarkEnd w:id="64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0.94 (0.85 - 0.98)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0.92 (0.84 - 1)</w:t>
            </w:r>
          </w:p>
        </w:tc>
        <w:tc>
          <w:p/>
        </w:tc>
      </w:tr>
    </w:tbl>
    <w:p>
      <w:pPr>
        <w:pStyle w:val="Heading3"/>
      </w:pPr>
      <w:bookmarkStart w:id="65" w:name="c---by-class-metrics-3"/>
      <w:r>
        <w:t xml:space="preserve">C - By-Class Metrics</w:t>
      </w:r>
      <w:bookmarkEnd w:id="65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0.31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0.83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0.87</w:t>
            </w:r>
          </w:p>
        </w:tc>
        <w:tc>
          <w:p>
            <w:pPr>
              <w:pStyle w:val="Compact"/>
              <w:jc w:val="center"/>
            </w:pPr>
            <w:r>
              <w:t xml:space="preserve">0.16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0.89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0.28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0.24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</w:tr>
    </w:tbl>
    <w:p>
      <w:pPr>
        <w:pStyle w:val="Heading1"/>
      </w:pPr>
      <w:bookmarkStart w:id="66" w:name="Xae0b6191ec2b0ae76fbc5aff1348d52483932a3"/>
      <w:r>
        <w:t xml:space="preserve">B.9 Data Breakdown for Downstream Analysis</w:t>
      </w:r>
      <w:bookmarkEnd w:id="66"/>
    </w:p>
    <w:p>
      <w:pPr>
        <w:pStyle w:val="Heading2"/>
      </w:pPr>
      <w:bookmarkStart w:id="67" w:name="X7c190b302529f2a9f2a8c5f114b11505e2bd490"/>
      <w:r>
        <w:t xml:space="preserve">Labelled Samples with All-Array and TCGA Models</w:t>
      </w:r>
      <w:bookmarkEnd w:id="67"/>
    </w:p>
    <w:p>
      <w:pPr>
        <w:pStyle w:val="TableCaption"/>
      </w:pPr>
      <w:r>
        <w:t xml:space="preserve">Summary of All-Array and TCGA studies, cases, and gold-standard labels by dataset</w:t>
      </w:r>
    </w:p>
    <w:tbl>
      <w:tblPr>
        <w:tblStyle w:val="Table"/>
        <w:tblW w:type="pct" w:w="2500.0"/>
        <w:tblLook w:firstRow="1"/>
        <w:tblCaption w:val="Summary of All-Array and TCGA studies, cases, and gold-standard labels by dataset"/>
      </w:tblPr>
      <w:tblGrid>
        <w:gridCol w:w="770"/>
        <w:gridCol w:w="1100"/>
        <w:gridCol w:w="77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studies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agreement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cut1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1550</w:t>
            </w:r>
          </w:p>
        </w:tc>
        <w:tc>
          <w:p>
            <w:pPr>
              <w:pStyle w:val="Compact"/>
              <w:jc w:val="center"/>
            </w:pPr>
            <w:r>
              <w:t xml:space="preserve">1191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cut2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1032</w:t>
            </w:r>
          </w:p>
        </w:tc>
        <w:tc>
          <w:p>
            <w:pPr>
              <w:pStyle w:val="Compact"/>
              <w:jc w:val="center"/>
            </w:pPr>
            <w:r>
              <w:t xml:space="preserve">837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cut3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894</w:t>
            </w:r>
          </w:p>
        </w:tc>
        <w:tc>
          <w:p>
            <w:pPr>
              <w:pStyle w:val="Compact"/>
              <w:jc w:val="center"/>
            </w:pPr>
            <w:r>
              <w:t xml:space="preserve">719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cut4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353</w:t>
            </w:r>
          </w:p>
        </w:tc>
        <w:tc>
          <w:p>
            <w:pPr>
              <w:pStyle w:val="Compact"/>
              <w:jc w:val="center"/>
            </w:pPr>
            <w:r>
              <w:t xml:space="preserve">283</w:t>
            </w:r>
          </w:p>
        </w:tc>
      </w:tr>
    </w:tbl>
    <w:p>
      <w:pPr>
        <w:pStyle w:val="Heading1"/>
      </w:pPr>
      <w:bookmarkStart w:id="68" w:name="Xdeb3083473ffa928585602d74aeeaedfd575481"/>
      <w:r>
        <w:t xml:space="preserve">B.10 Development of a Clinically Applicable Assay</w:t>
      </w:r>
      <w:bookmarkEnd w:id="68"/>
    </w:p>
    <w:p>
      <w:pPr>
        <w:pStyle w:val="Heading2"/>
      </w:pPr>
      <w:bookmarkStart w:id="69" w:name="loso-plots-boxplots-heatmaps"/>
      <w:r>
        <w:t xml:space="preserve">LOSO plots, boxplots, heatmaps</w:t>
      </w:r>
      <w:bookmarkEnd w:id="69"/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chiu/Documents/GitHub/PrOType/pipeline/7-supplementary/figures/B10/LOSO_accuracy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chiu/Documents/GitHub/PrOType/pipeline/7-supplementary/figures/B10/LOSO_F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chiu/Documents/GitHub/PrOType/pipeline/7-supplementary/figures/B10/Accuracy_boxplot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chiu/Documents/GitHub/PrOType/pipeline/7-supplementary/figures/B10/top_genes_heatmap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chiu/Documents/GitHub/PrOType/pipeline/7-supplementary/figures/B10/Accuracy_cut2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dchiu/Documents/GitHub/PrOType/pipeline/7-supplementary/figures/B10/F1_cut2_byclas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Xc8aaccd5bb6750a11395dfc72397381da397921"/>
      <w:r>
        <w:rPr>
          <w:i/>
        </w:rPr>
        <w:t xml:space="preserve">Table SB7</w:t>
      </w:r>
      <w:r>
        <w:t xml:space="preserve"> </w:t>
      </w:r>
      <w:r>
        <w:t xml:space="preserve">Comparison of final model predictions with consensus labels from the training set (group 1)</w:t>
      </w:r>
      <w:bookmarkEnd w:id="76"/>
    </w:p>
    <w:p>
      <w:pPr>
        <w:pStyle w:val="Heading3"/>
      </w:pPr>
      <w:bookmarkStart w:id="77" w:name="a---confusion-matrix-4"/>
      <w:r>
        <w:t xml:space="preserve">A - Confusion Matrix</w:t>
      </w:r>
      <w:bookmarkEnd w:id="77"/>
    </w:p>
    <w:tbl>
      <w:tblPr>
        <w:tblStyle w:val="Table"/>
        <w:tblW w:type="pct" w:w="5000.0"/>
        <w:tblLook w:firstRow="0"/>
      </w:tblPr>
      <w:tblGrid>
        <w:gridCol w:w="2767"/>
        <w:gridCol w:w="1717"/>
        <w:gridCol w:w="858"/>
        <w:gridCol w:w="858"/>
        <w:gridCol w:w="858"/>
        <w:gridCol w:w="858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Consensus Label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with Final Model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391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256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319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169</w:t>
            </w:r>
          </w:p>
        </w:tc>
      </w:tr>
    </w:tbl>
    <w:p>
      <w:pPr>
        <w:pStyle w:val="Heading3"/>
      </w:pPr>
      <w:bookmarkStart w:id="78" w:name="b---overall-metrics-4"/>
      <w:r>
        <w:t xml:space="preserve">B - Overall Metrics</w:t>
      </w:r>
      <w:bookmarkEnd w:id="78"/>
    </w:p>
    <w:tbl>
      <w:tblPr>
        <w:tblStyle w:val="Table"/>
        <w:tblW w:type="pct" w:w="2430.555555555555"/>
        <w:tblLook w:firstRow="1"/>
      </w:tblPr>
      <w:tblGrid>
        <w:gridCol w:w="1210"/>
        <w:gridCol w:w="132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1 (1 - 1)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1 (1 - 1)</w:t>
            </w:r>
          </w:p>
        </w:tc>
        <w:tc>
          <w:p/>
        </w:tc>
      </w:tr>
    </w:tbl>
    <w:p>
      <w:pPr>
        <w:pStyle w:val="Heading3"/>
      </w:pPr>
      <w:bookmarkStart w:id="79" w:name="c---by-class-metrics-4"/>
      <w:r>
        <w:t xml:space="preserve">C - By-Class Metrics</w:t>
      </w:r>
      <w:bookmarkEnd w:id="79"/>
    </w:p>
    <w:tbl>
      <w:tblPr>
        <w:tblStyle w:val="Table"/>
        <w:tblW w:type="pct" w:w="5000.0"/>
        <w:tblLook w:firstRow="1"/>
      </w:tblPr>
      <w:tblGrid>
        <w:gridCol w:w="734"/>
        <w:gridCol w:w="1143"/>
        <w:gridCol w:w="1143"/>
        <w:gridCol w:w="489"/>
        <w:gridCol w:w="489"/>
        <w:gridCol w:w="408"/>
        <w:gridCol w:w="1877"/>
        <w:gridCol w:w="16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0.34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0.28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0.15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Heading2"/>
      </w:pPr>
      <w:bookmarkStart w:id="80" w:name="X17464f63578a111784deafd30c1bde5f580ef3a"/>
      <w:r>
        <w:rPr>
          <w:i/>
        </w:rPr>
        <w:t xml:space="preserve">Table SB8</w:t>
      </w:r>
      <w:r>
        <w:t xml:space="preserve"> </w:t>
      </w:r>
      <w:r>
        <w:t xml:space="preserve">Comparison of final model predictions with consensus labels from the confirmation set (group 2)</w:t>
      </w:r>
      <w:bookmarkEnd w:id="80"/>
    </w:p>
    <w:p>
      <w:pPr>
        <w:pStyle w:val="Heading3"/>
      </w:pPr>
      <w:bookmarkStart w:id="81" w:name="a---confusion-matrix-5"/>
      <w:r>
        <w:t xml:space="preserve">A - Confusion Matrix</w:t>
      </w:r>
      <w:bookmarkEnd w:id="81"/>
    </w:p>
    <w:tbl>
      <w:tblPr>
        <w:tblStyle w:val="Table"/>
        <w:tblW w:type="pct" w:w="5000.0"/>
        <w:tblLook w:firstRow="0"/>
      </w:tblPr>
      <w:tblGrid>
        <w:gridCol w:w="2767"/>
        <w:gridCol w:w="1717"/>
        <w:gridCol w:w="858"/>
        <w:gridCol w:w="858"/>
        <w:gridCol w:w="858"/>
        <w:gridCol w:w="858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Consensus Label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with Final Model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191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147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285</w:t>
            </w:r>
          </w:p>
        </w:tc>
        <w:tc>
          <w:p>
            <w:pPr>
              <w:pStyle w:val="Compact"/>
              <w:jc w:val="center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164</w:t>
            </w:r>
          </w:p>
        </w:tc>
      </w:tr>
    </w:tbl>
    <w:p>
      <w:pPr>
        <w:pStyle w:val="Heading3"/>
      </w:pPr>
      <w:bookmarkStart w:id="82" w:name="b---overall-metrics-5"/>
      <w:r>
        <w:t xml:space="preserve">B - Overall Metrics</w:t>
      </w:r>
      <w:bookmarkEnd w:id="82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0.96 (0.95 - 0.98)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0.95 (0.93 - 0.97)</w:t>
            </w:r>
          </w:p>
        </w:tc>
        <w:tc>
          <w:p/>
        </w:tc>
      </w:tr>
    </w:tbl>
    <w:p>
      <w:pPr>
        <w:pStyle w:val="Heading3"/>
      </w:pPr>
      <w:bookmarkStart w:id="83" w:name="c---by-class-metrics-5"/>
      <w:r>
        <w:t xml:space="preserve">C - By-Class Metrics</w:t>
      </w:r>
      <w:bookmarkEnd w:id="83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0.24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0.19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0.36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0.21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</w:tr>
    </w:tbl>
    <w:p>
      <w:pPr>
        <w:pStyle w:val="Heading2"/>
      </w:pPr>
      <w:bookmarkStart w:id="84" w:name="Xa98135da4ddee68d437fc56c2e48113ff7e63a1"/>
      <w:r>
        <w:rPr>
          <w:i/>
        </w:rPr>
        <w:t xml:space="preserve">Table SB9</w:t>
      </w:r>
      <w:r>
        <w:t xml:space="preserve"> </w:t>
      </w:r>
      <w:r>
        <w:t xml:space="preserve">Comparison of final model predictions with consensus labels from the first validation set (group 3)</w:t>
      </w:r>
      <w:bookmarkEnd w:id="84"/>
    </w:p>
    <w:p>
      <w:pPr>
        <w:pStyle w:val="Heading3"/>
      </w:pPr>
      <w:bookmarkStart w:id="85" w:name="a---confusion-matrix-6"/>
      <w:r>
        <w:t xml:space="preserve">A - Confusion Matrix</w:t>
      </w:r>
      <w:bookmarkEnd w:id="85"/>
    </w:p>
    <w:tbl>
      <w:tblPr>
        <w:tblStyle w:val="Table"/>
        <w:tblW w:type="pct" w:w="5000.0"/>
        <w:tblLook w:firstRow="0"/>
      </w:tblPr>
      <w:tblGrid>
        <w:gridCol w:w="2767"/>
        <w:gridCol w:w="1717"/>
        <w:gridCol w:w="858"/>
        <w:gridCol w:w="858"/>
        <w:gridCol w:w="858"/>
        <w:gridCol w:w="858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Consensus Label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with Final Model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211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145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210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119</w:t>
            </w:r>
          </w:p>
        </w:tc>
      </w:tr>
    </w:tbl>
    <w:p>
      <w:pPr>
        <w:pStyle w:val="Heading3"/>
      </w:pPr>
      <w:bookmarkStart w:id="86" w:name="b---overall-metrics-6"/>
      <w:r>
        <w:t xml:space="preserve">B - Overall Metrics</w:t>
      </w:r>
      <w:bookmarkEnd w:id="86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0.95 (0.93 - 0.97)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0.94 (0.91 - 0.96)</w:t>
            </w:r>
          </w:p>
        </w:tc>
        <w:tc>
          <w:p/>
        </w:tc>
      </w:tr>
    </w:tbl>
    <w:p>
      <w:pPr>
        <w:pStyle w:val="Heading3"/>
      </w:pPr>
      <w:bookmarkStart w:id="87" w:name="c---by-class-metrics-6"/>
      <w:r>
        <w:t xml:space="preserve">C - By-Class Metrics</w:t>
      </w:r>
      <w:bookmarkEnd w:id="87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0.30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0.22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0.30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0.90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0.93</w:t>
            </w:r>
          </w:p>
        </w:tc>
        <w:tc>
          <w:p>
            <w:pPr>
              <w:pStyle w:val="Compact"/>
              <w:jc w:val="center"/>
            </w:pPr>
            <w:r>
              <w:t xml:space="preserve">0.17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</w:tr>
    </w:tbl>
    <w:p>
      <w:pPr>
        <w:pStyle w:val="Heading2"/>
      </w:pPr>
      <w:bookmarkStart w:id="88" w:name="X562a4a84882917b87d9186d5b0c58bfb75888f3"/>
      <w:r>
        <w:rPr>
          <w:i/>
        </w:rPr>
        <w:t xml:space="preserve">Table SB10</w:t>
      </w:r>
      <w:r>
        <w:t xml:space="preserve"> </w:t>
      </w:r>
      <w:r>
        <w:t xml:space="preserve">Comparison of final model predictions with consensus labels from the second validation set (group 4)</w:t>
      </w:r>
      <w:bookmarkEnd w:id="88"/>
    </w:p>
    <w:p>
      <w:pPr>
        <w:pStyle w:val="Heading3"/>
      </w:pPr>
      <w:bookmarkStart w:id="89" w:name="a---confusion-matrix-7"/>
      <w:r>
        <w:t xml:space="preserve">A - Confusion Matrix</w:t>
      </w:r>
      <w:bookmarkEnd w:id="89"/>
    </w:p>
    <w:tbl>
      <w:tblPr>
        <w:tblStyle w:val="Table"/>
        <w:tblW w:type="pct" w:w="5000.0"/>
        <w:tblLook w:firstRow="0"/>
      </w:tblPr>
      <w:tblGrid>
        <w:gridCol w:w="2767"/>
        <w:gridCol w:w="1717"/>
        <w:gridCol w:w="858"/>
        <w:gridCol w:w="858"/>
        <w:gridCol w:w="858"/>
        <w:gridCol w:w="858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Consensus Label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with Final Model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97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47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67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56</w:t>
            </w:r>
          </w:p>
        </w:tc>
      </w:tr>
    </w:tbl>
    <w:p>
      <w:pPr>
        <w:pStyle w:val="Heading3"/>
      </w:pPr>
      <w:bookmarkStart w:id="90" w:name="b---overall-metrics-7"/>
      <w:r>
        <w:t xml:space="preserve">B - Overall Metrics</w:t>
      </w:r>
      <w:bookmarkEnd w:id="90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0.94 (0.91 - 0.97)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0.92 (0.89 - 0.96)</w:t>
            </w:r>
          </w:p>
        </w:tc>
        <w:tc>
          <w:p/>
        </w:tc>
      </w:tr>
    </w:tbl>
    <w:p>
      <w:pPr>
        <w:pStyle w:val="Heading3"/>
      </w:pPr>
      <w:bookmarkStart w:id="91" w:name="c---by-class-metrics-7"/>
      <w:r>
        <w:t xml:space="preserve">C - By-Class Metrics</w:t>
      </w:r>
      <w:bookmarkEnd w:id="91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0.35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  <w:tc>
          <w:p>
            <w:pPr>
              <w:pStyle w:val="Compact"/>
              <w:jc w:val="center"/>
            </w:pPr>
            <w:r>
              <w:t xml:space="preserve">0.18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0.91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0.20</w:t>
            </w:r>
          </w:p>
        </w:tc>
        <w:tc>
          <w:p>
            <w:pPr>
              <w:pStyle w:val="Compact"/>
              <w:jc w:val="center"/>
            </w:pPr>
            <w:r>
              <w:t xml:space="preserve">0.93</w:t>
            </w:r>
          </w:p>
        </w:tc>
      </w:tr>
    </w:tbl>
    <w:p>
      <w:pPr>
        <w:pStyle w:val="Heading2"/>
      </w:pPr>
      <w:bookmarkStart w:id="92" w:name="Xd6847d0baf89602bb66e6435bd9e9cc240dac09"/>
      <w:r>
        <w:rPr>
          <w:i/>
        </w:rPr>
        <w:t xml:space="preserve">Table SB11</w:t>
      </w:r>
      <w:r>
        <w:t xml:space="preserve"> </w:t>
      </w:r>
      <w:r>
        <w:t xml:space="preserve">Comparison of final model predictions with consensus labels from the overlap set</w:t>
      </w:r>
      <w:bookmarkEnd w:id="92"/>
    </w:p>
    <w:p>
      <w:pPr>
        <w:pStyle w:val="Heading3"/>
      </w:pPr>
      <w:bookmarkStart w:id="93" w:name="a---confusion-matrix-8"/>
      <w:r>
        <w:t xml:space="preserve">A - Confusion Matrix</w:t>
      </w:r>
      <w:bookmarkEnd w:id="93"/>
    </w:p>
    <w:tbl>
      <w:tblPr>
        <w:tblStyle w:val="Table"/>
        <w:tblW w:type="pct" w:w="5000.0"/>
        <w:tblLook w:firstRow="0"/>
      </w:tblPr>
      <w:tblGrid>
        <w:gridCol w:w="2767"/>
        <w:gridCol w:w="1717"/>
        <w:gridCol w:w="858"/>
        <w:gridCol w:w="858"/>
        <w:gridCol w:w="858"/>
        <w:gridCol w:w="858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Consensus Label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with Final Model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20</w:t>
            </w:r>
          </w:p>
        </w:tc>
      </w:tr>
    </w:tbl>
    <w:p>
      <w:pPr>
        <w:pStyle w:val="Heading3"/>
      </w:pPr>
      <w:bookmarkStart w:id="94" w:name="b---overall-metrics-8"/>
      <w:r>
        <w:t xml:space="preserve">B - Overall Metrics</w:t>
      </w:r>
      <w:bookmarkEnd w:id="94"/>
    </w:p>
    <w:tbl>
      <w:tblPr>
        <w:tblStyle w:val="Table"/>
        <w:tblW w:type="pct" w:w="2500.0"/>
        <w:tblLook w:firstRow="1"/>
      </w:tblPr>
      <w:tblGrid>
        <w:gridCol w:w="1210"/>
        <w:gridCol w:w="165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1 (0.95 - 1)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1 (1 - 1)</w:t>
            </w:r>
          </w:p>
        </w:tc>
        <w:tc>
          <w:p/>
        </w:tc>
      </w:tr>
    </w:tbl>
    <w:p>
      <w:pPr>
        <w:pStyle w:val="Heading3"/>
      </w:pPr>
      <w:bookmarkStart w:id="95" w:name="c---by-class-metrics-8"/>
      <w:r>
        <w:t xml:space="preserve">C - By-Class Metrics</w:t>
      </w:r>
      <w:bookmarkEnd w:id="95"/>
    </w:p>
    <w:tbl>
      <w:tblPr>
        <w:tblStyle w:val="Table"/>
        <w:tblW w:type="pct" w:w="5000.0"/>
        <w:tblLook w:firstRow="1"/>
      </w:tblPr>
      <w:tblGrid>
        <w:gridCol w:w="734"/>
        <w:gridCol w:w="1143"/>
        <w:gridCol w:w="1143"/>
        <w:gridCol w:w="489"/>
        <w:gridCol w:w="489"/>
        <w:gridCol w:w="408"/>
        <w:gridCol w:w="1877"/>
        <w:gridCol w:w="16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0.33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0.11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0.30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pStyle w:val="Heading2"/>
      </w:pPr>
      <w:bookmarkStart w:id="96" w:name="entropy-analysis-for-final-predictions"/>
      <w:r>
        <w:t xml:space="preserve">Entropy Analysis for Final Predictions</w:t>
      </w:r>
      <w:bookmarkEnd w:id="96"/>
    </w:p>
    <w:p>
      <w:pPr>
        <w:pStyle w:val="Heading3"/>
      </w:pPr>
      <w:bookmarkStart w:id="97" w:name="mann-whitney-u-test-1"/>
      <w:r>
        <w:t xml:space="preserve">Mann-Whitney U Test</w:t>
      </w:r>
      <w:bookmarkEnd w:id="97"/>
    </w:p>
    <w:tbl>
      <w:tblPr>
        <w:tblStyle w:val="Table"/>
        <w:tblW w:type="pct" w:w="4583.333333333334"/>
        <w:tblLook w:firstRow="1"/>
      </w:tblPr>
      <w:tblGrid>
        <w:gridCol w:w="1320"/>
        <w:gridCol w:w="1100"/>
        <w:gridCol w:w="3300"/>
        <w:gridCol w:w="15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314477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  <w:tc>
          <w:p>
            <w:pPr>
              <w:pStyle w:val="Compact"/>
              <w:jc w:val="center"/>
            </w:pPr>
            <w:r>
              <w:t xml:space="preserve">Wilcoxon rank sum test with</w:t>
            </w:r>
            <w:r>
              <w:t xml:space="preserve"> </w:t>
            </w:r>
            <w:r>
              <w:t xml:space="preserve">continuity correction</w:t>
            </w:r>
          </w:p>
        </w:tc>
        <w:tc>
          <w:p>
            <w:pPr>
              <w:pStyle w:val="Compact"/>
              <w:jc w:val="center"/>
            </w:pPr>
            <w:r>
              <w:t xml:space="preserve">two.sided</w:t>
            </w:r>
          </w:p>
        </w:tc>
      </w:tr>
    </w:tbl>
    <w:p>
      <w:pPr>
        <w:pStyle w:val="Heading3"/>
      </w:pPr>
      <w:bookmarkStart w:id="98" w:name="boxplot-comparisons"/>
      <w:r>
        <w:t xml:space="preserve">Boxplot Comparisons</w:t>
      </w:r>
      <w:bookmarkEnd w:id="98"/>
    </w:p>
    <w:p>
      <w:pPr>
        <w:pStyle w:val="FirstParagraph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boxplot_final_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B_files/figure-docx/entropy_boxplot_final_sub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2911" w:rsidRPr="00455398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41B4E7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9692C69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55398"/>
    <w:pPr>
      <w:spacing w:before="180" w:after="180"/>
    </w:pPr>
    <w:rPr>
      <w:rFonts w:ascii="Arial" w:hAnsi="Arial" w:cs="Arial"/>
    </w:rPr>
  </w:style>
  <w:style w:type="paragraph" w:styleId="Heading1">
    <w:name w:val="heading 1"/>
    <w:basedOn w:val="Normal"/>
    <w:next w:val="BodyText"/>
    <w:uiPriority w:val="9"/>
    <w:qFormat/>
    <w:rsid w:val="006A2E20"/>
    <w:pPr>
      <w:keepNext/>
      <w:keepLines/>
      <w:spacing w:before="0" w:after="0"/>
      <w:outlineLvl w:val="0"/>
    </w:pPr>
    <w:rPr>
      <w:rFonts w:eastAsiaTheme="majorEastAsia"/>
      <w:b/>
      <w:bCs/>
    </w:rPr>
  </w:style>
  <w:style w:type="paragraph" w:styleId="Heading2">
    <w:name w:val="heading 2"/>
    <w:basedOn w:val="Normal"/>
    <w:next w:val="BodyText"/>
    <w:uiPriority w:val="9"/>
    <w:unhideWhenUsed/>
    <w:qFormat/>
    <w:rsid w:val="00455398"/>
    <w:pPr>
      <w:keepNext/>
      <w:keepLines/>
      <w:spacing w:before="20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BodyText"/>
    <w:uiPriority w:val="9"/>
    <w:unhideWhenUsed/>
    <w:qFormat/>
    <w:rsid w:val="00455398"/>
    <w:pPr>
      <w:keepNext/>
      <w:keepLines/>
      <w:spacing w:before="200" w:after="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</w:style>
  <w:style w:type="paragraph" w:customStyle="1" w:styleId="FirstParagraph">
    <w:name w:val="First Paragraph"/>
    <w:basedOn w:val="BodyText"/>
    <w:next w:val="BodyText"/>
    <w:qFormat/>
    <w:rsid w:val="00455398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0361D5"/>
    <w:pPr>
      <w:keepNext/>
      <w:keepLines/>
      <w:spacing w:before="480" w:after="0" w:line="360" w:lineRule="auto"/>
    </w:pPr>
    <w:rPr>
      <w:rFonts w:eastAsiaTheme="majorEastAsia"/>
      <w:b/>
      <w:bCs/>
      <w:i/>
      <w:sz w:val="28"/>
      <w:szCs w:val="36"/>
    </w:rPr>
  </w:style>
  <w:style w:type="paragraph" w:styleId="Subtitle">
    <w:name w:val="Subtitle"/>
    <w:basedOn w:val="Title"/>
    <w:next w:val="BodyText"/>
    <w:qFormat/>
    <w:pPr>
      <w:spacing w:before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df" /><Relationship Type="http://schemas.openxmlformats.org/officeDocument/2006/relationships/image" Id="rId74" Target="media/rId74.pdf" /><Relationship Type="http://schemas.openxmlformats.org/officeDocument/2006/relationships/image" Id="rId75" Target="media/rId75.pdf" /><Relationship Type="http://schemas.openxmlformats.org/officeDocument/2006/relationships/image" Id="rId71" Target="media/rId71.pdf" /><Relationship Type="http://schemas.openxmlformats.org/officeDocument/2006/relationships/image" Id="rId70" Target="media/rId70.pdf" /><Relationship Type="http://schemas.openxmlformats.org/officeDocument/2006/relationships/image" Id="rId73" Target="media/rId73.pdf" /><Relationship Type="http://schemas.openxmlformats.org/officeDocument/2006/relationships/image" Id="rId28" Target="media/rId28.png" /><Relationship Type="http://schemas.openxmlformats.org/officeDocument/2006/relationships/image" Id="rId27" Target="media/rId27.png" /><Relationship Type="http://schemas.openxmlformats.org/officeDocument/2006/relationships/image" Id="rId44" Target="media/rId44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B: NanoString Sample Processing, Prediction, and Modelling</dc:title>
  <dc:creator/>
  <cp:keywords/>
  <dcterms:created xsi:type="dcterms:W3CDTF">2019-01-05T00:09:52Z</dcterms:created>
  <dcterms:modified xsi:type="dcterms:W3CDTF">2019-01-05T00:09:52Z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