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1.png" ContentType="image/png"/>
  <Override PartName="/word/media/rId83.png" ContentType="image/png"/>
  <Override PartName="/word/media/rId85.png" ContentType="image/png"/>
  <Override PartName="/word/media/rId60.png" ContentType="image/png"/>
  <Override PartName="/word/media/rId59.png" ContentType="image/png"/>
  <Override PartName="/word/media/rId26.png" ContentType="image/png"/>
  <Override PartName="/word/media/rId78.png" ContentType="image/png"/>
  <Override PartName="/word/media/rId76.png" ContentType="image/png"/>
  <Override PartName="/word/media/rId74.png" ContentType="image/png"/>
  <Override PartName="/word/media/rId7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C:</w:t>
      </w:r>
      <w:r>
        <w:t xml:space="preserve"> </w:t>
      </w:r>
      <w:r>
        <w:t xml:space="preserve">Molecular</w:t>
      </w:r>
      <w:r>
        <w:t xml:space="preserve"> </w:t>
      </w:r>
      <w:r>
        <w:t xml:space="preserve">Subtypes</w:t>
      </w:r>
      <w:r>
        <w:t xml:space="preserve"> </w:t>
      </w:r>
      <w:r>
        <w:t xml:space="preserve">Covariates</w:t>
      </w:r>
    </w:p>
    <w:p>
      <w:pPr>
        <w:pStyle w:val="Heading1"/>
      </w:pPr>
      <w:bookmarkStart w:id="20" w:name="Xcb199cab927eb19c5566ec22847f9dc3dc104c9"/>
      <w:r>
        <w:t xml:space="preserve">C.1 Technical Variability and Potential Sources of Bias</w:t>
      </w:r>
      <w:bookmarkEnd w:id="20"/>
    </w:p>
    <w:p>
      <w:pPr>
        <w:pStyle w:val="Heading2"/>
      </w:pPr>
      <w:bookmarkStart w:id="21" w:name="c.1.1-within-codeset-replication"/>
      <w:r>
        <w:t xml:space="preserve">C.1.1 Within CodeSet Replication</w:t>
      </w:r>
      <w:bookmarkEnd w:id="21"/>
    </w:p>
    <w:p>
      <w:pPr>
        <w:pStyle w:val="Heading2"/>
      </w:pPr>
      <w:bookmarkStart w:id="22" w:name="Xd60bbde4907339b487823cea9df162e1718e921"/>
      <w:r>
        <w:rPr>
          <w:i/>
        </w:rPr>
        <w:t xml:space="preserve">Table SC1</w:t>
      </w:r>
      <w:r>
        <w:t xml:space="preserve">: Comparison of within site replicates on 100 samples</w:t>
      </w:r>
      <w:bookmarkEnd w:id="22"/>
    </w:p>
    <w:p>
      <w:pPr>
        <w:pStyle w:val="Heading3"/>
      </w:pPr>
      <w:bookmarkStart w:id="23" w:name="a---confusion-matrix"/>
      <w:r>
        <w:t xml:space="preserve">A - Confusion Matrix</w:t>
      </w:r>
      <w:bookmarkEnd w:id="23"/>
    </w:p>
    <w:tbl>
      <w:tblPr>
        <w:tblStyle w:val="Table"/>
        <w:tblW w:type="pct" w:w="5000.0"/>
        <w:tblLook w:firstRow="0"/>
      </w:tblPr>
      <w:tblGrid>
        <w:gridCol w:w="2365"/>
        <w:gridCol w:w="1851"/>
        <w:gridCol w:w="925"/>
        <w:gridCol w:w="925"/>
        <w:gridCol w:w="925"/>
        <w:gridCol w:w="925"/>
      </w:tblGrid>
      <w:tr>
        <w:tc>
          <w:p/>
        </w:tc>
        <w:tc>
          <w:p>
            <w:pPr>
              <w:pStyle w:val="Compact"/>
              <w:jc w:val="center"/>
            </w:pPr>
            <w:r>
              <w:t xml:space="preserve">Final Originals</w:t>
            </w:r>
          </w:p>
        </w:tc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Predicted Replicates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C1.MES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C2.IMM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18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C4.DIF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28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C5.PRO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25</w:t>
            </w:r>
          </w:p>
        </w:tc>
      </w:tr>
    </w:tbl>
    <w:p>
      <w:pPr>
        <w:pStyle w:val="Heading3"/>
      </w:pPr>
      <w:bookmarkStart w:id="24" w:name="b---overall-metrics"/>
      <w:r>
        <w:t xml:space="preserve">B - Overall Metrics</w:t>
      </w:r>
      <w:bookmarkEnd w:id="24"/>
    </w:p>
    <w:tbl>
      <w:tblPr>
        <w:tblStyle w:val="Table"/>
        <w:tblW w:type="pct" w:w="2916.666666666667"/>
        <w:tblLook w:firstRow="1"/>
      </w:tblPr>
      <w:tblGrid>
        <w:gridCol w:w="1210"/>
        <w:gridCol w:w="2310"/>
        <w:gridCol w:w="110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Metric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 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accuracy</w:t>
            </w:r>
          </w:p>
        </w:tc>
        <w:tc>
          <w:p>
            <w:pPr>
              <w:pStyle w:val="Compact"/>
              <w:jc w:val="left"/>
            </w:pPr>
            <w:r>
              <w:t xml:space="preserve">0.94 (0.87 - 0.98)</w:t>
            </w:r>
          </w:p>
        </w:tc>
        <w:tc>
          <w:p>
            <w:pPr>
              <w:pStyle w:val="Compact"/>
              <w:jc w:val="center"/>
            </w:pPr>
            <w:r>
              <w:t xml:space="preserve">&lt; 0.001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kappa</w:t>
            </w:r>
          </w:p>
        </w:tc>
        <w:tc>
          <w:p>
            <w:pPr>
              <w:pStyle w:val="Compact"/>
              <w:jc w:val="left"/>
            </w:pPr>
            <w:r>
              <w:t xml:space="preserve">0.92 (0.86 - 0.98)</w:t>
            </w:r>
          </w:p>
        </w:tc>
        <w:tc>
          <w:p/>
        </w:tc>
      </w:tr>
    </w:tbl>
    <w:p>
      <w:pPr>
        <w:pStyle w:val="Heading3"/>
      </w:pPr>
      <w:bookmarkStart w:id="25" w:name="c---by-class-metrics"/>
      <w:r>
        <w:t xml:space="preserve">C - By-Class Metrics</w:t>
      </w:r>
      <w:bookmarkEnd w:id="25"/>
    </w:p>
    <w:tbl>
      <w:tblPr>
        <w:tblStyle w:val="Table"/>
        <w:tblW w:type="pct" w:w="5000.0"/>
        <w:tblLook w:firstRow="1"/>
      </w:tblPr>
      <w:tblGrid>
        <w:gridCol w:w="705"/>
        <w:gridCol w:w="1097"/>
        <w:gridCol w:w="1097"/>
        <w:gridCol w:w="548"/>
        <w:gridCol w:w="548"/>
        <w:gridCol w:w="548"/>
        <w:gridCol w:w="1803"/>
        <w:gridCol w:w="156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Sensitivity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Specificity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Detection Prevalence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Balanced Accuracy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0.23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0.96</w:t>
            </w:r>
          </w:p>
        </w:tc>
        <w:tc>
          <w:p>
            <w:pPr>
              <w:pStyle w:val="Compact"/>
              <w:jc w:val="center"/>
            </w:pPr>
            <w:r>
              <w:t xml:space="preserve">0.86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0.92</w:t>
            </w:r>
          </w:p>
        </w:tc>
        <w:tc>
          <w:p>
            <w:pPr>
              <w:pStyle w:val="Compact"/>
              <w:jc w:val="center"/>
            </w:pPr>
            <w:r>
              <w:t xml:space="preserve">0.21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0.88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  <w:tc>
          <w:p>
            <w:pPr>
              <w:pStyle w:val="Compact"/>
              <w:jc w:val="center"/>
            </w:pPr>
            <w:r>
              <w:t xml:space="preserve">0.93</w:t>
            </w:r>
          </w:p>
        </w:tc>
        <w:tc>
          <w:p>
            <w:pPr>
              <w:pStyle w:val="Compact"/>
              <w:jc w:val="center"/>
            </w:pPr>
            <w:r>
              <w:t xml:space="preserve">0.94</w:t>
            </w:r>
          </w:p>
        </w:tc>
        <w:tc>
          <w:p>
            <w:pPr>
              <w:pStyle w:val="Compact"/>
              <w:jc w:val="center"/>
            </w:pPr>
            <w:r>
              <w:t xml:space="preserve">0.90</w:t>
            </w:r>
          </w:p>
        </w:tc>
        <w:tc>
          <w:p>
            <w:pPr>
              <w:pStyle w:val="Compact"/>
              <w:jc w:val="center"/>
            </w:pPr>
            <w:r>
              <w:t xml:space="preserve">0.30</w:t>
            </w:r>
          </w:p>
        </w:tc>
        <w:tc>
          <w:p>
            <w:pPr>
              <w:pStyle w:val="Compact"/>
              <w:jc w:val="center"/>
            </w:pPr>
            <w:r>
              <w:t xml:space="preserve">0.92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0.93</w:t>
            </w:r>
          </w:p>
        </w:tc>
        <w:tc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p>
            <w:pPr>
              <w:pStyle w:val="Compact"/>
              <w:jc w:val="center"/>
            </w:pPr>
            <w:r>
              <w:t xml:space="preserve">0.96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  <w:tc>
          <w:p>
            <w:pPr>
              <w:pStyle w:val="Compact"/>
              <w:jc w:val="center"/>
            </w:pPr>
            <w:r>
              <w:t xml:space="preserve">0.94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0.96</w:t>
            </w:r>
          </w:p>
        </w:tc>
      </w:tr>
    </w:tbl>
    <w:p>
      <w:pPr>
        <w:pStyle w:val="BodyText"/>
      </w:pPr>
      <w:r>
        <w:drawing>
          <wp:inline>
            <wp:extent cx="5943600" cy="42454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C_files/figure-docx/o_vs_r_entrop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c.1.2-cross-site-replication"/>
      <w:r>
        <w:t xml:space="preserve">C.1.2 Cross-site Replication</w:t>
      </w:r>
      <w:bookmarkEnd w:id="27"/>
    </w:p>
    <w:p>
      <w:pPr>
        <w:pStyle w:val="SourceCode"/>
      </w:pPr>
      <w:r>
        <w:rPr>
          <w:rStyle w:val="VerbatimChar"/>
        </w:rPr>
        <w:t xml:space="preserve">##  Fleiss' Kappa for m Raters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Subjects = 47 </w:t>
      </w:r>
      <w:r>
        <w:br w:type="textWrapping"/>
      </w:r>
      <w:r>
        <w:rPr>
          <w:rStyle w:val="VerbatimChar"/>
        </w:rPr>
        <w:t xml:space="preserve">##    Raters = 3 </w:t>
      </w:r>
      <w:r>
        <w:br w:type="textWrapping"/>
      </w:r>
      <w:r>
        <w:rPr>
          <w:rStyle w:val="VerbatimChar"/>
        </w:rPr>
        <w:t xml:space="preserve">##     Kappa = 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z = 19.5 </w:t>
      </w:r>
      <w:r>
        <w:br w:type="textWrapping"/>
      </w:r>
      <w:r>
        <w:rPr>
          <w:rStyle w:val="VerbatimChar"/>
        </w:rPr>
        <w:t xml:space="preserve">##   p-value = 0</w:t>
      </w:r>
    </w:p>
    <w:p>
      <w:pPr>
        <w:pStyle w:val="Heading2"/>
      </w:pPr>
      <w:bookmarkStart w:id="28" w:name="c.1.3-cross-codeset-replication"/>
      <w:r>
        <w:t xml:space="preserve">C.1.3 Cross CodeSet Replication</w:t>
      </w:r>
      <w:bookmarkEnd w:id="28"/>
    </w:p>
    <w:p>
      <w:pPr>
        <w:pStyle w:val="Heading2"/>
      </w:pPr>
      <w:bookmarkStart w:id="29" w:name="Xad7bf36dd8811501cb4cb7c5e95960e5543b7c1"/>
      <w:r>
        <w:rPr>
          <w:i/>
        </w:rPr>
        <w:t xml:space="preserve">Table SC2</w:t>
      </w:r>
      <w:r>
        <w:t xml:space="preserve">: Comparison of predictions from the</w:t>
      </w:r>
      <w:r>
        <w:t xml:space="preserve"> </w:t>
      </w:r>
      <w:r>
        <w:t xml:space="preserve">“</w:t>
      </w:r>
      <w:r>
        <w:t xml:space="preserve">OTTA original</w:t>
      </w:r>
      <w:r>
        <w:t xml:space="preserve">”</w:t>
      </w:r>
      <w:r>
        <w:t xml:space="preserve"> </w:t>
      </w:r>
      <w:r>
        <w:t xml:space="preserve">CodeSet with the</w:t>
      </w:r>
      <w:r>
        <w:t xml:space="preserve"> </w:t>
      </w:r>
      <w:r>
        <w:t xml:space="preserve">“</w:t>
      </w:r>
      <w:r>
        <w:t xml:space="preserve">OTTA Mixed</w:t>
      </w:r>
      <w:r>
        <w:t xml:space="preserve">”</w:t>
      </w:r>
      <w:r>
        <w:t xml:space="preserve"> </w:t>
      </w:r>
      <w:r>
        <w:t xml:space="preserve">CodeSet</w:t>
      </w:r>
      <w:bookmarkEnd w:id="29"/>
    </w:p>
    <w:p>
      <w:pPr>
        <w:pStyle w:val="Heading3"/>
      </w:pPr>
      <w:bookmarkStart w:id="30" w:name="a---confusion-matrix-1"/>
      <w:r>
        <w:t xml:space="preserve">A - Confusion Matrix</w:t>
      </w:r>
      <w:bookmarkEnd w:id="30"/>
    </w:p>
    <w:tbl>
      <w:tblPr>
        <w:tblStyle w:val="Table"/>
        <w:tblW w:type="pct" w:w="4999.999999999999"/>
        <w:tblLook w:firstRow="0"/>
      </w:tblPr>
      <w:tblGrid>
        <w:gridCol w:w="2288"/>
        <w:gridCol w:w="2464"/>
        <w:gridCol w:w="792"/>
        <w:gridCol w:w="792"/>
        <w:gridCol w:w="792"/>
        <w:gridCol w:w="792"/>
      </w:tblGrid>
      <w:tr>
        <w:tc>
          <w:p/>
        </w:tc>
        <w:tc>
          <w:p>
            <w:pPr>
              <w:pStyle w:val="Compact"/>
              <w:jc w:val="center"/>
            </w:pPr>
            <w:r>
              <w:t xml:space="preserve">Predicted Original Labels</w:t>
            </w:r>
          </w:p>
        </w:tc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Predicted Mixed CodeSet</w:t>
            </w:r>
            <w:r>
              <w:t xml:space="preserve"> </w:t>
            </w:r>
            <w:r>
              <w:t xml:space="preserve">Replicate Labels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C1.MES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25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C2.IMM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20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C4.DIF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34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C5.PRO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18</w:t>
            </w:r>
          </w:p>
        </w:tc>
      </w:tr>
    </w:tbl>
    <w:p>
      <w:pPr>
        <w:pStyle w:val="Heading3"/>
      </w:pPr>
      <w:bookmarkStart w:id="31" w:name="b---overall-metrics-1"/>
      <w:r>
        <w:t xml:space="preserve">B - Overall Metrics</w:t>
      </w:r>
      <w:bookmarkEnd w:id="31"/>
    </w:p>
    <w:tbl>
      <w:tblPr>
        <w:tblStyle w:val="Table"/>
        <w:tblW w:type="pct" w:w="2916.666666666667"/>
        <w:tblLook w:firstRow="1"/>
      </w:tblPr>
      <w:tblGrid>
        <w:gridCol w:w="1210"/>
        <w:gridCol w:w="2310"/>
        <w:gridCol w:w="110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Metric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 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accuracy</w:t>
            </w:r>
          </w:p>
        </w:tc>
        <w:tc>
          <w:p>
            <w:pPr>
              <w:pStyle w:val="Compact"/>
              <w:jc w:val="left"/>
            </w:pPr>
            <w:r>
              <w:t xml:space="preserve">0.97 (0.91 - 0.99)</w:t>
            </w:r>
          </w:p>
        </w:tc>
        <w:tc>
          <w:p>
            <w:pPr>
              <w:pStyle w:val="Compact"/>
              <w:jc w:val="center"/>
            </w:pPr>
            <w:r>
              <w:t xml:space="preserve">&lt; 0.001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kappa</w:t>
            </w:r>
          </w:p>
        </w:tc>
        <w:tc>
          <w:p>
            <w:pPr>
              <w:pStyle w:val="Compact"/>
              <w:jc w:val="left"/>
            </w:pPr>
            <w:r>
              <w:t xml:space="preserve">0.96 (0.91 - 1)</w:t>
            </w:r>
          </w:p>
        </w:tc>
        <w:tc>
          <w:p/>
        </w:tc>
      </w:tr>
    </w:tbl>
    <w:p>
      <w:pPr>
        <w:pStyle w:val="Heading3"/>
      </w:pPr>
      <w:bookmarkStart w:id="32" w:name="c---by-class-metrics-1"/>
      <w:r>
        <w:t xml:space="preserve">C - By-Class Metrics</w:t>
      </w:r>
      <w:bookmarkEnd w:id="32"/>
    </w:p>
    <w:tbl>
      <w:tblPr>
        <w:tblStyle w:val="Table"/>
        <w:tblW w:type="pct" w:w="5000.0"/>
        <w:tblLook w:firstRow="1"/>
      </w:tblPr>
      <w:tblGrid>
        <w:gridCol w:w="705"/>
        <w:gridCol w:w="1097"/>
        <w:gridCol w:w="1097"/>
        <w:gridCol w:w="548"/>
        <w:gridCol w:w="548"/>
        <w:gridCol w:w="548"/>
        <w:gridCol w:w="1803"/>
        <w:gridCol w:w="156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Sensitivity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Specificity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Detection Prevalence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Balanced Accuracy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0.96</w:t>
            </w:r>
          </w:p>
        </w:tc>
        <w:tc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p>
            <w:pPr>
              <w:pStyle w:val="Compact"/>
              <w:jc w:val="center"/>
            </w:pPr>
            <w:r>
              <w:t xml:space="preserve">0.96</w:t>
            </w:r>
          </w:p>
        </w:tc>
        <w:tc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p>
            <w:pPr>
              <w:pStyle w:val="Compact"/>
              <w:jc w:val="center"/>
            </w:pPr>
            <w:r>
              <w:t xml:space="preserve">0.96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0.95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0.20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  <w:tc>
          <w:p>
            <w:pPr>
              <w:pStyle w:val="Compact"/>
              <w:jc w:val="center"/>
            </w:pPr>
            <w:r>
              <w:t xml:space="preserve">0.35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p>
            <w:pPr>
              <w:pStyle w:val="Compact"/>
              <w:jc w:val="center"/>
            </w:pPr>
            <w:r>
              <w:t xml:space="preserve">0.95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  <w:tc>
          <w:p>
            <w:pPr>
              <w:pStyle w:val="Compact"/>
              <w:jc w:val="center"/>
            </w:pPr>
            <w:r>
              <w:t xml:space="preserve">0.19</w:t>
            </w:r>
          </w:p>
        </w:tc>
        <w:tc>
          <w:p>
            <w:pPr>
              <w:pStyle w:val="Compact"/>
              <w:jc w:val="center"/>
            </w:pPr>
            <w:r>
              <w:t xml:space="preserve">0.99</w:t>
            </w:r>
          </w:p>
        </w:tc>
      </w:tr>
    </w:tbl>
    <w:p>
      <w:pPr>
        <w:pStyle w:val="Heading2"/>
      </w:pPr>
      <w:bookmarkStart w:id="33" w:name="Xbb4ec80b20e61623b5bdab0828b70e25322566d"/>
      <w:r>
        <w:rPr>
          <w:i/>
        </w:rPr>
        <w:t xml:space="preserve">Table SC3:</w:t>
      </w:r>
      <w:r>
        <w:t xml:space="preserve"> </w:t>
      </w:r>
      <w:r>
        <w:t xml:space="preserve">Comparison of predictions from the</w:t>
      </w:r>
      <w:r>
        <w:t xml:space="preserve"> </w:t>
      </w:r>
      <w:r>
        <w:t xml:space="preserve">“</w:t>
      </w:r>
      <w:r>
        <w:t xml:space="preserve">OTTA original</w:t>
      </w:r>
      <w:r>
        <w:t xml:space="preserve">”</w:t>
      </w:r>
      <w:r>
        <w:t xml:space="preserve"> </w:t>
      </w:r>
      <w:r>
        <w:t xml:space="preserve">CodeSet with the</w:t>
      </w:r>
      <w:r>
        <w:t xml:space="preserve"> </w:t>
      </w:r>
      <w:r>
        <w:t xml:space="preserve">“</w:t>
      </w:r>
      <w:r>
        <w:t xml:space="preserve">OTTA Classifier Only</w:t>
      </w:r>
      <w:r>
        <w:t xml:space="preserve">”</w:t>
      </w:r>
      <w:r>
        <w:t xml:space="preserve"> </w:t>
      </w:r>
      <w:r>
        <w:t xml:space="preserve">CodeSet</w:t>
      </w:r>
      <w:bookmarkEnd w:id="33"/>
    </w:p>
    <w:p>
      <w:pPr>
        <w:pStyle w:val="Heading3"/>
      </w:pPr>
      <w:bookmarkStart w:id="34" w:name="a---confusion-matrix-2"/>
      <w:r>
        <w:t xml:space="preserve">A - Confusion Matrix</w:t>
      </w:r>
      <w:bookmarkEnd w:id="34"/>
    </w:p>
    <w:tbl>
      <w:tblPr>
        <w:tblStyle w:val="Table"/>
        <w:tblW w:type="pct" w:w="5000.0"/>
        <w:tblLook w:firstRow="0"/>
      </w:tblPr>
      <w:tblGrid>
        <w:gridCol w:w="2410"/>
        <w:gridCol w:w="2410"/>
        <w:gridCol w:w="774"/>
        <w:gridCol w:w="774"/>
        <w:gridCol w:w="774"/>
        <w:gridCol w:w="774"/>
      </w:tblGrid>
      <w:tr>
        <w:tc>
          <w:p/>
        </w:tc>
        <w:tc>
          <w:p>
            <w:pPr>
              <w:pStyle w:val="Compact"/>
              <w:jc w:val="center"/>
            </w:pPr>
            <w:r>
              <w:t xml:space="preserve">Predicted Original Labels</w:t>
            </w:r>
          </w:p>
        </w:tc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Predicted Classifier Only</w:t>
            </w:r>
            <w:r>
              <w:t xml:space="preserve"> </w:t>
            </w:r>
            <w:r>
              <w:t xml:space="preserve">Labels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C1.MES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37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C2.IMM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22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C4.DIF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26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C5.PRO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15</w:t>
            </w:r>
          </w:p>
        </w:tc>
      </w:tr>
    </w:tbl>
    <w:p>
      <w:pPr>
        <w:pStyle w:val="Heading3"/>
      </w:pPr>
      <w:bookmarkStart w:id="35" w:name="b---overall-metrics-2"/>
      <w:r>
        <w:t xml:space="preserve">B - Overall Metrics</w:t>
      </w:r>
      <w:bookmarkEnd w:id="35"/>
    </w:p>
    <w:tbl>
      <w:tblPr>
        <w:tblStyle w:val="Table"/>
        <w:tblW w:type="pct" w:w="2916.666666666667"/>
        <w:tblLook w:firstRow="1"/>
      </w:tblPr>
      <w:tblGrid>
        <w:gridCol w:w="1210"/>
        <w:gridCol w:w="2310"/>
        <w:gridCol w:w="110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Metric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 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accuracy</w:t>
            </w:r>
          </w:p>
        </w:tc>
        <w:tc>
          <w:p>
            <w:pPr>
              <w:pStyle w:val="Compact"/>
              <w:jc w:val="left"/>
            </w:pPr>
            <w:r>
              <w:t xml:space="preserve">0.97 (0.92 - 0.99)</w:t>
            </w:r>
          </w:p>
        </w:tc>
        <w:tc>
          <w:p>
            <w:pPr>
              <w:pStyle w:val="Compact"/>
              <w:jc w:val="center"/>
            </w:pPr>
            <w:r>
              <w:t xml:space="preserve">&lt; 0.001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kappa</w:t>
            </w:r>
          </w:p>
        </w:tc>
        <w:tc>
          <w:p>
            <w:pPr>
              <w:pStyle w:val="Compact"/>
              <w:jc w:val="left"/>
            </w:pPr>
            <w:r>
              <w:t xml:space="preserve">0.96 (0.91 - 1)</w:t>
            </w:r>
          </w:p>
        </w:tc>
        <w:tc>
          <w:p/>
        </w:tc>
      </w:tr>
    </w:tbl>
    <w:p>
      <w:pPr>
        <w:pStyle w:val="Heading3"/>
      </w:pPr>
      <w:bookmarkStart w:id="36" w:name="c---by-class-metrics-2"/>
      <w:r>
        <w:t xml:space="preserve">C - By-Class Metrics</w:t>
      </w:r>
      <w:bookmarkEnd w:id="36"/>
    </w:p>
    <w:tbl>
      <w:tblPr>
        <w:tblStyle w:val="Table"/>
        <w:tblW w:type="pct" w:w="5000.0"/>
        <w:tblLook w:firstRow="1"/>
      </w:tblPr>
      <w:tblGrid>
        <w:gridCol w:w="705"/>
        <w:gridCol w:w="1097"/>
        <w:gridCol w:w="1097"/>
        <w:gridCol w:w="548"/>
        <w:gridCol w:w="548"/>
        <w:gridCol w:w="548"/>
        <w:gridCol w:w="1803"/>
        <w:gridCol w:w="156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Sensitivity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Specificity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Detection Prevalence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Balanced Accuracy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  <w:tc>
          <w:p>
            <w:pPr>
              <w:pStyle w:val="Compact"/>
              <w:jc w:val="center"/>
            </w:pPr>
            <w:r>
              <w:t xml:space="preserve">0.37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p>
            <w:pPr>
              <w:pStyle w:val="Compact"/>
              <w:jc w:val="center"/>
            </w:pPr>
            <w:r>
              <w:t xml:space="preserve">0.96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0.22</w:t>
            </w:r>
          </w:p>
        </w:tc>
        <w:tc>
          <w:p>
            <w:pPr>
              <w:pStyle w:val="Compact"/>
              <w:jc w:val="center"/>
            </w:pPr>
            <w:r>
              <w:t xml:space="preserve">0.99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0.93</w:t>
            </w:r>
          </w:p>
        </w:tc>
        <w:tc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p>
            <w:pPr>
              <w:pStyle w:val="Compact"/>
              <w:jc w:val="center"/>
            </w:pPr>
            <w:r>
              <w:t xml:space="preserve">0.96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  <w:tc>
          <w:p>
            <w:pPr>
              <w:pStyle w:val="Compact"/>
              <w:jc w:val="center"/>
            </w:pPr>
            <w:r>
              <w:t xml:space="preserve">0.95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0.96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0.15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pPr>
        <w:pStyle w:val="Heading2"/>
      </w:pPr>
      <w:bookmarkStart w:id="37" w:name="Xe08f4cafa0606ab0c8cbc0fd270e1ee9dd89065"/>
      <w:r>
        <w:rPr>
          <w:i/>
        </w:rPr>
        <w:t xml:space="preserve">Table SC4:</w:t>
      </w:r>
      <w:r>
        <w:t xml:space="preserve"> </w:t>
      </w:r>
      <w:r>
        <w:t xml:space="preserve">Comparison of predictions from the</w:t>
      </w:r>
      <w:r>
        <w:t xml:space="preserve"> </w:t>
      </w:r>
      <w:r>
        <w:t xml:space="preserve">“</w:t>
      </w:r>
      <w:r>
        <w:t xml:space="preserve">OTTA Mixed</w:t>
      </w:r>
      <w:r>
        <w:t xml:space="preserve">”</w:t>
      </w:r>
      <w:r>
        <w:t xml:space="preserve"> </w:t>
      </w:r>
      <w:r>
        <w:t xml:space="preserve">CodeSet with the</w:t>
      </w:r>
      <w:r>
        <w:t xml:space="preserve"> </w:t>
      </w:r>
      <w:r>
        <w:t xml:space="preserve">“</w:t>
      </w:r>
      <w:r>
        <w:t xml:space="preserve">OTTA Classifier Only</w:t>
      </w:r>
      <w:r>
        <w:t xml:space="preserve">”</w:t>
      </w:r>
      <w:r>
        <w:t xml:space="preserve"> </w:t>
      </w:r>
      <w:r>
        <w:t xml:space="preserve">Codeset</w:t>
      </w:r>
      <w:bookmarkEnd w:id="37"/>
    </w:p>
    <w:p>
      <w:pPr>
        <w:pStyle w:val="Heading3"/>
      </w:pPr>
      <w:bookmarkStart w:id="38" w:name="a---confusion-matrix-3"/>
      <w:r>
        <w:t xml:space="preserve">A - Confusion Matrix</w:t>
      </w:r>
      <w:bookmarkEnd w:id="38"/>
    </w:p>
    <w:tbl>
      <w:tblPr>
        <w:tblStyle w:val="Table"/>
        <w:tblW w:type="pct" w:w="5000.0"/>
        <w:tblLook w:firstRow="0"/>
      </w:tblPr>
      <w:tblGrid>
        <w:gridCol w:w="2227"/>
        <w:gridCol w:w="2722"/>
        <w:gridCol w:w="742"/>
        <w:gridCol w:w="742"/>
        <w:gridCol w:w="742"/>
        <w:gridCol w:w="742"/>
      </w:tblGrid>
      <w:tr>
        <w:tc>
          <w:p/>
        </w:tc>
        <w:tc>
          <w:p>
            <w:pPr>
              <w:pStyle w:val="Compact"/>
              <w:jc w:val="center"/>
            </w:pPr>
            <w:r>
              <w:t xml:space="preserve">Predicted Mixed CodeSet Labels</w:t>
            </w:r>
          </w:p>
        </w:tc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Predicted Classifer Only</w:t>
            </w:r>
            <w:r>
              <w:t xml:space="preserve"> </w:t>
            </w:r>
            <w:r>
              <w:t xml:space="preserve">CodeSet Labels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C1.MES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20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C2.IMM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15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C4.DIF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27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C5.PRO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15</w:t>
            </w:r>
          </w:p>
        </w:tc>
      </w:tr>
    </w:tbl>
    <w:p>
      <w:pPr>
        <w:pStyle w:val="Heading3"/>
      </w:pPr>
      <w:bookmarkStart w:id="39" w:name="b---overall-metrics-3"/>
      <w:r>
        <w:t xml:space="preserve">B - Overall Metrics</w:t>
      </w:r>
      <w:bookmarkEnd w:id="39"/>
    </w:p>
    <w:tbl>
      <w:tblPr>
        <w:tblStyle w:val="Table"/>
        <w:tblW w:type="pct" w:w="2916.666666666667"/>
        <w:tblLook w:firstRow="1"/>
      </w:tblPr>
      <w:tblGrid>
        <w:gridCol w:w="1210"/>
        <w:gridCol w:w="2310"/>
        <w:gridCol w:w="110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Metric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 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accuracy</w:t>
            </w:r>
          </w:p>
        </w:tc>
        <w:tc>
          <w:p>
            <w:pPr>
              <w:pStyle w:val="Compact"/>
              <w:jc w:val="left"/>
            </w:pPr>
            <w:r>
              <w:t xml:space="preserve">0.96 (0.89 - 0.99)</w:t>
            </w:r>
          </w:p>
        </w:tc>
        <w:tc>
          <w:p>
            <w:pPr>
              <w:pStyle w:val="Compact"/>
              <w:jc w:val="center"/>
            </w:pPr>
            <w:r>
              <w:t xml:space="preserve">&lt; 0.001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kappa</w:t>
            </w:r>
          </w:p>
        </w:tc>
        <w:tc>
          <w:p>
            <w:pPr>
              <w:pStyle w:val="Compact"/>
              <w:jc w:val="left"/>
            </w:pPr>
            <w:r>
              <w:t xml:space="preserve">0.95 (0.89 - 1.01)</w:t>
            </w:r>
          </w:p>
        </w:tc>
        <w:tc>
          <w:p/>
        </w:tc>
      </w:tr>
    </w:tbl>
    <w:p>
      <w:pPr>
        <w:pStyle w:val="Heading3"/>
      </w:pPr>
      <w:bookmarkStart w:id="40" w:name="c---by-class-metrics-3"/>
      <w:r>
        <w:t xml:space="preserve">C - By-Class Metrics</w:t>
      </w:r>
      <w:bookmarkEnd w:id="40"/>
    </w:p>
    <w:tbl>
      <w:tblPr>
        <w:tblStyle w:val="Table"/>
        <w:tblW w:type="pct" w:w="5000.0"/>
        <w:tblLook w:firstRow="1"/>
      </w:tblPr>
      <w:tblGrid>
        <w:gridCol w:w="705"/>
        <w:gridCol w:w="1097"/>
        <w:gridCol w:w="1097"/>
        <w:gridCol w:w="548"/>
        <w:gridCol w:w="548"/>
        <w:gridCol w:w="548"/>
        <w:gridCol w:w="1803"/>
        <w:gridCol w:w="156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Sensitivity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Specificity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Detection Prevalence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Balanced Accuracy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0.95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0.95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0.95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  <w:tc>
          <w:p>
            <w:pPr>
              <w:pStyle w:val="Compact"/>
              <w:jc w:val="center"/>
            </w:pPr>
            <w:r>
              <w:t xml:space="preserve">0.88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0.94</w:t>
            </w:r>
          </w:p>
        </w:tc>
        <w:tc>
          <w:p>
            <w:pPr>
              <w:pStyle w:val="Compact"/>
              <w:jc w:val="center"/>
            </w:pPr>
            <w:r>
              <w:t xml:space="preserve">0.21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0.96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0.34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0.94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  <w:tc>
          <w:p>
            <w:pPr>
              <w:pStyle w:val="Compact"/>
              <w:jc w:val="center"/>
            </w:pPr>
            <w:r>
              <w:t xml:space="preserve">0.19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</w:tr>
    </w:tbl>
    <w:p>
      <w:pPr>
        <w:pStyle w:val="Heading2"/>
      </w:pPr>
      <w:bookmarkStart w:id="41" w:name="fleiss-kappa"/>
      <w:r>
        <w:t xml:space="preserve">Fleiss’ Kappa</w:t>
      </w:r>
      <w:bookmarkEnd w:id="41"/>
    </w:p>
    <w:p>
      <w:pPr>
        <w:pStyle w:val="FirstParagraph"/>
      </w:pPr>
      <w:r>
        <w:t xml:space="preserve">The Fleiss’ Kappa was calculated for the 98 unique samples common between the OTTA original CodeSet and OTTA Mixed CodeSet, across all three CodeSets.</w:t>
      </w:r>
    </w:p>
    <w:p>
      <w:pPr>
        <w:pStyle w:val="SourceCode"/>
      </w:pPr>
      <w:r>
        <w:rPr>
          <w:rStyle w:val="VerbatimChar"/>
        </w:rPr>
        <w:t xml:space="preserve">##  Fleiss' Kappa for m Raters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Subjects = 98 </w:t>
      </w:r>
      <w:r>
        <w:br w:type="textWrapping"/>
      </w:r>
      <w:r>
        <w:rPr>
          <w:rStyle w:val="VerbatimChar"/>
        </w:rPr>
        <w:t xml:space="preserve">##    Raters = 3 </w:t>
      </w:r>
      <w:r>
        <w:br w:type="textWrapping"/>
      </w:r>
      <w:r>
        <w:rPr>
          <w:rStyle w:val="VerbatimChar"/>
        </w:rPr>
        <w:t xml:space="preserve">##     Kappa = 0.782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z = 25 </w:t>
      </w:r>
      <w:r>
        <w:br w:type="textWrapping"/>
      </w:r>
      <w:r>
        <w:rPr>
          <w:rStyle w:val="VerbatimChar"/>
        </w:rPr>
        <w:t xml:space="preserve">##   p-value = 0</w:t>
      </w:r>
    </w:p>
    <w:p>
      <w:pPr>
        <w:pStyle w:val="Heading1"/>
      </w:pPr>
      <w:bookmarkStart w:id="42" w:name="c.2-anatomical-site-variability"/>
      <w:r>
        <w:t xml:space="preserve">C.2 Anatomical Site Variability</w:t>
      </w:r>
      <w:bookmarkEnd w:id="42"/>
    </w:p>
    <w:p>
      <w:pPr>
        <w:pStyle w:val="Heading2"/>
      </w:pPr>
      <w:bookmarkStart w:id="43" w:name="X13b9a38292e7ea1a436f62cf0cda02d2e48a419"/>
      <w:r>
        <w:rPr>
          <w:i/>
        </w:rPr>
        <w:t xml:space="preserve">Table SC5:</w:t>
      </w:r>
      <w:r>
        <w:t xml:space="preserve"> </w:t>
      </w:r>
      <w:r>
        <w:t xml:space="preserve">Comparison of anatomical site, 53 matched pairs adnexa and omentum</w:t>
      </w:r>
      <w:bookmarkEnd w:id="43"/>
    </w:p>
    <w:p>
      <w:pPr>
        <w:pStyle w:val="Heading3"/>
      </w:pPr>
      <w:bookmarkStart w:id="44" w:name="a---confusion-matrix-4"/>
      <w:r>
        <w:t xml:space="preserve">A - Confusion Matrix</w:t>
      </w:r>
      <w:bookmarkEnd w:id="44"/>
    </w:p>
    <w:tbl>
      <w:tblPr>
        <w:tblStyle w:val="Table"/>
        <w:tblW w:type="pct" w:w="5000.0"/>
        <w:tblLook w:firstRow="0"/>
      </w:tblPr>
      <w:tblGrid>
        <w:gridCol w:w="2200"/>
        <w:gridCol w:w="1760"/>
        <w:gridCol w:w="990"/>
        <w:gridCol w:w="990"/>
        <w:gridCol w:w="990"/>
        <w:gridCol w:w="990"/>
      </w:tblGrid>
      <w:tr>
        <w:tc>
          <w:p/>
        </w:tc>
        <w:tc>
          <w:p>
            <w:pPr>
              <w:pStyle w:val="Compact"/>
              <w:jc w:val="center"/>
            </w:pPr>
            <w:r>
              <w:t xml:space="preserve">Final Adnexal</w:t>
            </w:r>
          </w:p>
        </w:tc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Predicted Omentum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C1.MES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14</w:t>
            </w:r>
          </w:p>
        </w:tc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15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C2.IMM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C4.DIF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C5.PRO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Heading3"/>
      </w:pPr>
      <w:bookmarkStart w:id="45" w:name="b---overall-metrics-4"/>
      <w:r>
        <w:t xml:space="preserve">B - Overall Metrics</w:t>
      </w:r>
      <w:bookmarkEnd w:id="45"/>
    </w:p>
    <w:tbl>
      <w:tblPr>
        <w:tblStyle w:val="Table"/>
        <w:tblW w:type="pct" w:w="2916.666666666667"/>
        <w:tblLook w:firstRow="1"/>
      </w:tblPr>
      <w:tblGrid>
        <w:gridCol w:w="1210"/>
        <w:gridCol w:w="2310"/>
        <w:gridCol w:w="110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Metric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 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accuracy</w:t>
            </w:r>
          </w:p>
        </w:tc>
        <w:tc>
          <w:p>
            <w:pPr>
              <w:pStyle w:val="Compact"/>
              <w:jc w:val="left"/>
            </w:pPr>
            <w:r>
              <w:t xml:space="preserve">0.3 (0.18 - 0.44)</w:t>
            </w:r>
          </w:p>
        </w:tc>
        <w:tc>
          <w:p>
            <w:pPr>
              <w:pStyle w:val="Compact"/>
              <w:jc w:val="center"/>
            </w:pPr>
            <w:r>
              <w:t xml:space="preserve">0.76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kappa</w:t>
            </w:r>
          </w:p>
        </w:tc>
        <w:tc>
          <w:p>
            <w:pPr>
              <w:pStyle w:val="Compact"/>
              <w:jc w:val="left"/>
            </w:pPr>
            <w:r>
              <w:t xml:space="preserve">0.06 (-0.1 - 0.23)</w:t>
            </w:r>
          </w:p>
        </w:tc>
        <w:tc>
          <w:p/>
        </w:tc>
      </w:tr>
    </w:tbl>
    <w:p>
      <w:pPr>
        <w:pStyle w:val="Heading3"/>
      </w:pPr>
      <w:bookmarkStart w:id="46" w:name="c---by-class-metrics-4"/>
      <w:r>
        <w:t xml:space="preserve">C - By-Class Metrics</w:t>
      </w:r>
      <w:bookmarkEnd w:id="46"/>
    </w:p>
    <w:tbl>
      <w:tblPr>
        <w:tblStyle w:val="Table"/>
        <w:tblW w:type="pct" w:w="5000.0"/>
        <w:tblLook w:firstRow="1"/>
      </w:tblPr>
      <w:tblGrid>
        <w:gridCol w:w="705"/>
        <w:gridCol w:w="1097"/>
        <w:gridCol w:w="1097"/>
        <w:gridCol w:w="548"/>
        <w:gridCol w:w="548"/>
        <w:gridCol w:w="548"/>
        <w:gridCol w:w="1803"/>
        <w:gridCol w:w="156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Sensitivity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Specificity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NPV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Detection Prevalence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Balanced Accuracy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1.0</w:t>
            </w:r>
          </w:p>
        </w:tc>
        <w:tc>
          <w:p>
            <w:pPr>
              <w:pStyle w:val="Compact"/>
              <w:jc w:val="center"/>
            </w:pPr>
            <w:r>
              <w:t xml:space="preserve">0.23</w:t>
            </w:r>
          </w:p>
        </w:tc>
        <w:tc>
          <w:p>
            <w:pPr>
              <w:pStyle w:val="Compact"/>
              <w:jc w:val="center"/>
            </w:pPr>
            <w:r>
              <w:t xml:space="preserve">0.32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0.48</w:t>
            </w:r>
          </w:p>
        </w:tc>
        <w:tc>
          <w:p>
            <w:pPr>
              <w:pStyle w:val="Compact"/>
              <w:jc w:val="center"/>
            </w:pPr>
            <w:r>
              <w:t xml:space="preserve">0.83</w:t>
            </w:r>
          </w:p>
        </w:tc>
        <w:tc>
          <w:p>
            <w:pPr>
              <w:pStyle w:val="Compact"/>
              <w:jc w:val="center"/>
            </w:pPr>
            <w:r>
              <w:t xml:space="preserve">0.62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0.2</w:t>
            </w:r>
          </w:p>
        </w:tc>
        <w:tc>
          <w:p>
            <w:pPr>
              <w:pStyle w:val="Compact"/>
              <w:jc w:val="center"/>
            </w:pPr>
            <w:r>
              <w:t xml:space="preserve">0.86</w:t>
            </w:r>
          </w:p>
        </w:tc>
        <w:tc>
          <w:p>
            <w:pPr>
              <w:pStyle w:val="Compact"/>
              <w:jc w:val="center"/>
            </w:pPr>
            <w:r>
              <w:t xml:space="preserve">0.25</w:t>
            </w:r>
          </w:p>
        </w:tc>
        <w:tc>
          <w:p>
            <w:pPr>
              <w:pStyle w:val="Compact"/>
              <w:jc w:val="center"/>
            </w:pPr>
            <w:r>
              <w:t xml:space="preserve">0.82</w:t>
            </w:r>
          </w:p>
        </w:tc>
        <w:tc>
          <w:p>
            <w:pPr>
              <w:pStyle w:val="Compact"/>
              <w:jc w:val="center"/>
            </w:pPr>
            <w:r>
              <w:t xml:space="preserve">0.22</w:t>
            </w:r>
          </w:p>
        </w:tc>
        <w:tc>
          <w:p>
            <w:pPr>
              <w:pStyle w:val="Compact"/>
              <w:jc w:val="center"/>
            </w:pPr>
            <w:r>
              <w:t xml:space="preserve">0.15</w:t>
            </w:r>
          </w:p>
        </w:tc>
        <w:tc>
          <w:p>
            <w:pPr>
              <w:pStyle w:val="Compact"/>
              <w:jc w:val="center"/>
            </w:pPr>
            <w:r>
              <w:t xml:space="preserve">0.53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0.97</w:t>
            </w:r>
          </w:p>
        </w:tc>
        <w:tc>
          <w:p>
            <w:pPr>
              <w:pStyle w:val="Compact"/>
              <w:jc w:val="center"/>
            </w:pPr>
            <w:r>
              <w:t xml:space="preserve">0.00</w:t>
            </w:r>
          </w:p>
        </w:tc>
        <w:tc>
          <w:p>
            <w:pPr>
              <w:pStyle w:val="Compact"/>
              <w:jc w:val="center"/>
            </w:pPr>
            <w:r>
              <w:t xml:space="preserve">0.65</w:t>
            </w:r>
          </w:p>
        </w:tc>
        <w:tc>
          <w:p>
            <w:pPr>
              <w:pStyle w:val="Compact"/>
              <w:jc w:val="center"/>
            </w:pPr>
            <w:r>
              <w:t xml:space="preserve">NA</w:t>
            </w:r>
          </w:p>
        </w:tc>
        <w:tc>
          <w:p>
            <w:pPr>
              <w:pStyle w:val="Compact"/>
              <w:jc w:val="center"/>
            </w:pPr>
            <w:r>
              <w:t xml:space="preserve">0.02</w:t>
            </w:r>
          </w:p>
        </w:tc>
        <w:tc>
          <w:p>
            <w:pPr>
              <w:pStyle w:val="Compact"/>
              <w:jc w:val="center"/>
            </w:pPr>
            <w:r>
              <w:t xml:space="preserve">0.49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  <w:jc w:val="center"/>
            </w:pPr>
            <w:r>
              <w:t xml:space="preserve">NA</w:t>
            </w:r>
          </w:p>
        </w:tc>
        <w:tc>
          <w:p>
            <w:pPr>
              <w:pStyle w:val="Compact"/>
              <w:jc w:val="center"/>
            </w:pPr>
            <w:r>
              <w:t xml:space="preserve">0.79</w:t>
            </w:r>
          </w:p>
        </w:tc>
        <w:tc>
          <w:p>
            <w:pPr>
              <w:pStyle w:val="Compact"/>
              <w:jc w:val="center"/>
            </w:pPr>
            <w:r>
              <w:t xml:space="preserve">NA</w:t>
            </w:r>
          </w:p>
        </w:tc>
        <w:tc>
          <w:p>
            <w:pPr>
              <w:pStyle w:val="Compact"/>
              <w:jc w:val="center"/>
            </w:pPr>
            <w:r>
              <w:t xml:space="preserve">0.00</w:t>
            </w:r>
          </w:p>
        </w:tc>
        <w:tc>
          <w:p>
            <w:pPr>
              <w:pStyle w:val="Compact"/>
              <w:jc w:val="center"/>
            </w:pPr>
            <w:r>
              <w:t xml:space="preserve">0.50</w:t>
            </w:r>
          </w:p>
        </w:tc>
      </w:tr>
    </w:tbl>
    <w:p>
      <w:pPr>
        <w:pStyle w:val="Heading2"/>
      </w:pPr>
      <w:bookmarkStart w:id="47" w:name="Xbbcbb2f83981e33cd3b9b7ad02cf6cc4b84d2f0"/>
      <w:r>
        <w:rPr>
          <w:i/>
        </w:rPr>
        <w:t xml:space="preserve">Table SC6:</w:t>
      </w:r>
      <w:r>
        <w:t xml:space="preserve"> </w:t>
      </w:r>
      <w:r>
        <w:t xml:space="preserve">Molecular subtype by anatomical sampling site</w:t>
      </w:r>
      <w:bookmarkEnd w:id="47"/>
    </w:p>
    <w:tbl>
      <w:tblPr>
        <w:tblStyle w:val="Table"/>
        <w:tblW w:type="pct" w:w="5000.0"/>
        <w:tblLook w:firstRow="1"/>
      </w:tblPr>
      <w:tblGrid>
        <w:gridCol w:w="642"/>
        <w:gridCol w:w="927"/>
        <w:gridCol w:w="927"/>
        <w:gridCol w:w="1569"/>
        <w:gridCol w:w="1569"/>
        <w:gridCol w:w="927"/>
        <w:gridCol w:w="135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Levels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ADNEXAL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OMENTUM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LOWER GENITAL TRACK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UPPER GENITAL TRACK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PERITONEAL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PRESUMED ADNEXAL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384(25.3%)</w:t>
            </w:r>
          </w:p>
        </w:tc>
        <w:tc>
          <w:p>
            <w:pPr>
              <w:pStyle w:val="Compact"/>
              <w:jc w:val="center"/>
            </w:pPr>
            <w:r>
              <w:t xml:space="preserve">248(71.7%)</w:t>
            </w:r>
          </w:p>
        </w:tc>
        <w:tc>
          <w:p>
            <w:pPr>
              <w:pStyle w:val="Compact"/>
              <w:jc w:val="center"/>
            </w:pPr>
            <w:r>
              <w:t xml:space="preserve">0(0%)</w:t>
            </w:r>
          </w:p>
        </w:tc>
        <w:tc>
          <w:p>
            <w:pPr>
              <w:pStyle w:val="Compact"/>
              <w:jc w:val="center"/>
            </w:pPr>
            <w:r>
              <w:t xml:space="preserve">8(50%)</w:t>
            </w:r>
          </w:p>
        </w:tc>
        <w:tc>
          <w:p>
            <w:pPr>
              <w:pStyle w:val="Compact"/>
              <w:jc w:val="center"/>
            </w:pPr>
            <w:r>
              <w:t xml:space="preserve">32(45.7%)</w:t>
            </w:r>
          </w:p>
        </w:tc>
        <w:tc>
          <w:p>
            <w:pPr>
              <w:pStyle w:val="Compact"/>
              <w:jc w:val="center"/>
            </w:pPr>
            <w:r>
              <w:t xml:space="preserve">439(23.3%)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394(26%)</w:t>
            </w:r>
          </w:p>
        </w:tc>
        <w:tc>
          <w:p>
            <w:pPr>
              <w:pStyle w:val="Compact"/>
              <w:jc w:val="center"/>
            </w:pPr>
            <w:r>
              <w:t xml:space="preserve">67(19.4%)</w:t>
            </w:r>
          </w:p>
        </w:tc>
        <w:tc>
          <w:p>
            <w:pPr>
              <w:pStyle w:val="Compact"/>
              <w:jc w:val="center"/>
            </w:pPr>
            <w:r>
              <w:t xml:space="preserve">1(100%)</w:t>
            </w:r>
          </w:p>
        </w:tc>
        <w:tc>
          <w:p>
            <w:pPr>
              <w:pStyle w:val="Compact"/>
              <w:jc w:val="center"/>
            </w:pPr>
            <w:r>
              <w:t xml:space="preserve">2(12.5%)</w:t>
            </w:r>
          </w:p>
        </w:tc>
        <w:tc>
          <w:p>
            <w:pPr>
              <w:pStyle w:val="Compact"/>
              <w:jc w:val="center"/>
            </w:pPr>
            <w:r>
              <w:t xml:space="preserve">16(22.9%)</w:t>
            </w:r>
          </w:p>
        </w:tc>
        <w:tc>
          <w:p>
            <w:pPr>
              <w:pStyle w:val="Compact"/>
              <w:jc w:val="center"/>
            </w:pPr>
            <w:r>
              <w:t xml:space="preserve">434(23.1%)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473(31.2%)</w:t>
            </w:r>
          </w:p>
        </w:tc>
        <w:tc>
          <w:p>
            <w:pPr>
              <w:pStyle w:val="Compact"/>
              <w:jc w:val="center"/>
            </w:pPr>
            <w:r>
              <w:t xml:space="preserve">24(6.9%)</w:t>
            </w:r>
          </w:p>
        </w:tc>
        <w:tc>
          <w:p>
            <w:pPr>
              <w:pStyle w:val="Compact"/>
              <w:jc w:val="center"/>
            </w:pPr>
            <w:r>
              <w:t xml:space="preserve">0(0%)</w:t>
            </w:r>
          </w:p>
        </w:tc>
        <w:tc>
          <w:p>
            <w:pPr>
              <w:pStyle w:val="Compact"/>
              <w:jc w:val="center"/>
            </w:pPr>
            <w:r>
              <w:t xml:space="preserve">2(12.5%)</w:t>
            </w:r>
          </w:p>
        </w:tc>
        <w:tc>
          <w:p>
            <w:pPr>
              <w:pStyle w:val="Compact"/>
              <w:jc w:val="center"/>
            </w:pPr>
            <w:r>
              <w:t xml:space="preserve">12(17.1%)</w:t>
            </w:r>
          </w:p>
        </w:tc>
        <w:tc>
          <w:p>
            <w:pPr>
              <w:pStyle w:val="Compact"/>
              <w:jc w:val="center"/>
            </w:pPr>
            <w:r>
              <w:t xml:space="preserve">642(34.1%)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264(17.4%)</w:t>
            </w:r>
          </w:p>
        </w:tc>
        <w:tc>
          <w:p>
            <w:pPr>
              <w:pStyle w:val="Compact"/>
              <w:jc w:val="center"/>
            </w:pPr>
            <w:r>
              <w:t xml:space="preserve">7(2%)</w:t>
            </w:r>
          </w:p>
        </w:tc>
        <w:tc>
          <w:p>
            <w:pPr>
              <w:pStyle w:val="Compact"/>
              <w:jc w:val="center"/>
            </w:pPr>
            <w:r>
              <w:t xml:space="preserve">0(0%)</w:t>
            </w:r>
          </w:p>
        </w:tc>
        <w:tc>
          <w:p>
            <w:pPr>
              <w:pStyle w:val="Compact"/>
              <w:jc w:val="center"/>
            </w:pPr>
            <w:r>
              <w:t xml:space="preserve">4(25%)</w:t>
            </w:r>
          </w:p>
        </w:tc>
        <w:tc>
          <w:p>
            <w:pPr>
              <w:pStyle w:val="Compact"/>
              <w:jc w:val="center"/>
            </w:pPr>
            <w:r>
              <w:t xml:space="preserve">10(14.3%)</w:t>
            </w:r>
          </w:p>
        </w:tc>
        <w:tc>
          <w:p>
            <w:pPr>
              <w:pStyle w:val="Compact"/>
              <w:jc w:val="center"/>
            </w:pPr>
            <w:r>
              <w:t xml:space="preserve">366(19.5%)</w:t>
            </w:r>
          </w:p>
        </w:tc>
      </w:tr>
    </w:tbl>
    <w:p>
      <w:pPr>
        <w:pStyle w:val="Heading2"/>
      </w:pPr>
      <w:bookmarkStart w:id="48" w:name="adnexal-site-associations"/>
      <w:r>
        <w:t xml:space="preserve">Adnexal Site Associations</w:t>
      </w:r>
      <w:bookmarkEnd w:id="48"/>
    </w:p>
    <w:p>
      <w:pPr>
        <w:pStyle w:val="Heading3"/>
      </w:pPr>
      <w:bookmarkStart w:id="49" w:name="adenxal-vs-omentum"/>
      <w:r>
        <w:t xml:space="preserve">Adenxal vs Omentum</w:t>
      </w:r>
      <w:bookmarkEnd w:id="49"/>
    </w:p>
    <w:tbl>
      <w:tblPr>
        <w:tblStyle w:val="Table"/>
        <w:tblW w:type="pct" w:w="4513.888888888889"/>
        <w:tblLook w:firstRow="1"/>
      </w:tblPr>
      <w:tblGrid>
        <w:gridCol w:w="1320"/>
        <w:gridCol w:w="1320"/>
        <w:gridCol w:w="1320"/>
        <w:gridCol w:w="31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method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291.1</w:t>
            </w:r>
          </w:p>
        </w:tc>
        <w:tc>
          <w:p>
            <w:pPr>
              <w:pStyle w:val="Compact"/>
              <w:jc w:val="center"/>
            </w:pPr>
            <w:r>
              <w:t xml:space="preserve">8.241e-63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Pearson’s Chi-squared test</w:t>
            </w:r>
          </w:p>
        </w:tc>
      </w:tr>
    </w:tbl>
    <w:p>
      <w:pPr>
        <w:pStyle w:val="Heading3"/>
      </w:pPr>
      <w:bookmarkStart w:id="50" w:name="adnexal-vs-presumed-adnexal"/>
      <w:r>
        <w:t xml:space="preserve">Adnexal vs Presumed Adnexal</w:t>
      </w:r>
      <w:bookmarkEnd w:id="50"/>
    </w:p>
    <w:tbl>
      <w:tblPr>
        <w:tblStyle w:val="Table"/>
        <w:tblW w:type="pct" w:w="4375.0"/>
        <w:tblLook w:firstRow="1"/>
      </w:tblPr>
      <w:tblGrid>
        <w:gridCol w:w="1320"/>
        <w:gridCol w:w="1100"/>
        <w:gridCol w:w="1320"/>
        <w:gridCol w:w="31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method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8.39</w:t>
            </w:r>
          </w:p>
        </w:tc>
        <w:tc>
          <w:p>
            <w:pPr>
              <w:pStyle w:val="Compact"/>
              <w:jc w:val="center"/>
            </w:pPr>
            <w:r>
              <w:t xml:space="preserve">0.03861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Pearson’s Chi-squared test</w:t>
            </w:r>
          </w:p>
        </w:tc>
      </w:tr>
    </w:tbl>
    <w:p>
      <w:pPr>
        <w:pStyle w:val="Heading3"/>
      </w:pPr>
      <w:bookmarkStart w:id="51" w:name="adnexal-vs-other"/>
      <w:r>
        <w:t xml:space="preserve">Adnexal vs Other</w:t>
      </w:r>
      <w:bookmarkEnd w:id="51"/>
    </w:p>
    <w:tbl>
      <w:tblPr>
        <w:tblStyle w:val="Table"/>
        <w:tblW w:type="pct" w:w="4513.888888888889"/>
        <w:tblLook w:firstRow="1"/>
      </w:tblPr>
      <w:tblGrid>
        <w:gridCol w:w="1320"/>
        <w:gridCol w:w="1320"/>
        <w:gridCol w:w="1320"/>
        <w:gridCol w:w="31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method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20.06</w:t>
            </w:r>
          </w:p>
        </w:tc>
        <w:tc>
          <w:p>
            <w:pPr>
              <w:pStyle w:val="Compact"/>
              <w:jc w:val="center"/>
            </w:pPr>
            <w:r>
              <w:t xml:space="preserve">0.0001646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Pearson’s Chi-squared test</w:t>
            </w:r>
          </w:p>
        </w:tc>
      </w:tr>
    </w:tbl>
    <w:p>
      <w:pPr>
        <w:pStyle w:val="Heading1"/>
      </w:pPr>
      <w:bookmarkStart w:id="52" w:name="X6136238688be00137ea74bf251916df9d417bf5"/>
      <w:r>
        <w:t xml:space="preserve">C.3 Biological Characterization of the Subtypes</w:t>
      </w:r>
      <w:bookmarkEnd w:id="52"/>
    </w:p>
    <w:p>
      <w:pPr>
        <w:pStyle w:val="Heading2"/>
      </w:pPr>
      <w:bookmarkStart w:id="53" w:name="X49d8350c14964ddbe62fb56c7611f991e412e66"/>
      <w:r>
        <w:t xml:space="preserve">C.3.1 Correlation with Clinical and Pathological Parameters</w:t>
      </w:r>
      <w:bookmarkEnd w:id="53"/>
    </w:p>
    <w:p>
      <w:pPr>
        <w:pStyle w:val="Heading3"/>
      </w:pPr>
      <w:bookmarkStart w:id="54" w:name="brca12-mutations"/>
      <w:r>
        <w:t xml:space="preserve">BRCA1/2 Mutations</w:t>
      </w:r>
      <w:bookmarkEnd w:id="54"/>
    </w:p>
    <w:tbl>
      <w:tblPr>
        <w:tblStyle w:val="Table"/>
        <w:tblW w:type="pct" w:w="5000.0"/>
        <w:tblLook w:firstRow="1"/>
      </w:tblPr>
      <w:tblGrid>
        <w:gridCol w:w="727"/>
        <w:gridCol w:w="1293"/>
        <w:gridCol w:w="2262"/>
        <w:gridCol w:w="2262"/>
        <w:gridCol w:w="137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Levels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all wildtypes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pathogenic BRCA1 mutation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pathogenic BRCA2 mutation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pathogenic NOS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201(30%)</w:t>
            </w:r>
          </w:p>
        </w:tc>
        <w:tc>
          <w:p>
            <w:pPr>
              <w:pStyle w:val="Compact"/>
              <w:jc w:val="center"/>
            </w:pPr>
            <w:r>
              <w:t xml:space="preserve">45(34.1%)</w:t>
            </w:r>
          </w:p>
        </w:tc>
        <w:tc>
          <w:p>
            <w:pPr>
              <w:pStyle w:val="Compact"/>
              <w:jc w:val="center"/>
            </w:pPr>
            <w:r>
              <w:t xml:space="preserve">22(30.6%)</w:t>
            </w:r>
          </w:p>
        </w:tc>
        <w:tc>
          <w:p>
            <w:pPr>
              <w:pStyle w:val="Compact"/>
              <w:jc w:val="center"/>
            </w:pPr>
            <w:r>
              <w:t xml:space="preserve">1(50%)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153(22.8%)</w:t>
            </w:r>
          </w:p>
        </w:tc>
        <w:tc>
          <w:p>
            <w:pPr>
              <w:pStyle w:val="Compact"/>
              <w:jc w:val="center"/>
            </w:pPr>
            <w:r>
              <w:t xml:space="preserve">28(21.2%)</w:t>
            </w:r>
          </w:p>
        </w:tc>
        <w:tc>
          <w:p>
            <w:pPr>
              <w:pStyle w:val="Compact"/>
              <w:jc w:val="center"/>
            </w:pPr>
            <w:r>
              <w:t xml:space="preserve">13(18.1%)</w:t>
            </w:r>
          </w:p>
        </w:tc>
        <w:tc>
          <w:p>
            <w:pPr>
              <w:pStyle w:val="Compact"/>
              <w:jc w:val="center"/>
            </w:pPr>
            <w:r>
              <w:t xml:space="preserve">0(0%)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202(30.1%)</w:t>
            </w:r>
          </w:p>
        </w:tc>
        <w:tc>
          <w:p>
            <w:pPr>
              <w:pStyle w:val="Compact"/>
              <w:jc w:val="center"/>
            </w:pPr>
            <w:r>
              <w:t xml:space="preserve">48(36.4%)</w:t>
            </w:r>
          </w:p>
        </w:tc>
        <w:tc>
          <w:p>
            <w:pPr>
              <w:pStyle w:val="Compact"/>
              <w:jc w:val="center"/>
            </w:pPr>
            <w:r>
              <w:t xml:space="preserve">25(34.7%)</w:t>
            </w:r>
          </w:p>
        </w:tc>
        <w:tc>
          <w:p>
            <w:pPr>
              <w:pStyle w:val="Compact"/>
              <w:jc w:val="center"/>
            </w:pPr>
            <w:r>
              <w:t xml:space="preserve">1(50%)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115(17.1%)</w:t>
            </w:r>
          </w:p>
        </w:tc>
        <w:tc>
          <w:p>
            <w:pPr>
              <w:pStyle w:val="Compact"/>
              <w:jc w:val="center"/>
            </w:pPr>
            <w:r>
              <w:t xml:space="preserve">11(8.3%)</w:t>
            </w:r>
          </w:p>
        </w:tc>
        <w:tc>
          <w:p>
            <w:pPr>
              <w:pStyle w:val="Compact"/>
              <w:jc w:val="center"/>
            </w:pPr>
            <w:r>
              <w:t xml:space="preserve">12(16.7%)</w:t>
            </w:r>
          </w:p>
        </w:tc>
        <w:tc>
          <w:p>
            <w:pPr>
              <w:pStyle w:val="Compact"/>
              <w:jc w:val="center"/>
            </w:pPr>
            <w:r>
              <w:t xml:space="preserve">0(0%)</w:t>
            </w:r>
          </w:p>
        </w:tc>
      </w:tr>
    </w:tbl>
    <w:p>
      <w:pPr>
        <w:pStyle w:val="Heading3"/>
      </w:pPr>
      <w:bookmarkStart w:id="55" w:name="Xef67b5bcb45627b47387030ec78ab164ca78909"/>
      <w:r>
        <w:rPr>
          <w:i/>
        </w:rPr>
        <w:t xml:space="preserve">Table SC7:</w:t>
      </w:r>
      <w:r>
        <w:t xml:space="preserve"> </w:t>
      </w:r>
      <w:r>
        <w:t xml:space="preserve">Cohort characteristics for all cases by subtype</w:t>
      </w:r>
      <w:bookmarkEnd w:id="55"/>
    </w:p>
    <w:p>
      <w:pPr>
        <w:pStyle w:val="TableCaption"/>
      </w:pPr>
      <w:r>
        <w:t xml:space="preserve">Cohort characteristics for all cases by subtype</w:t>
      </w:r>
    </w:p>
    <w:tbl>
      <w:tblPr>
        <w:tblStyle w:val="Table"/>
        <w:tblW w:type="pct" w:w="5000.0"/>
        <w:tblLook w:firstRow="1"/>
        <w:tblCaption w:val="Cohort characteristics for all cases by subtype"/>
      </w:tblPr>
      <w:tblGrid>
        <w:gridCol w:w="1029"/>
        <w:gridCol w:w="1252"/>
        <w:gridCol w:w="939"/>
        <w:gridCol w:w="939"/>
        <w:gridCol w:w="939"/>
        <w:gridCol w:w="939"/>
        <w:gridCol w:w="939"/>
        <w:gridCol w:w="93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Levels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PValue</w:t>
            </w:r>
          </w:p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p>
            <w:pPr>
              <w:pStyle w:val="Compact"/>
              <w:jc w:val="center"/>
            </w:pPr>
            <w:r>
              <w:t xml:space="preserve">1111</w:t>
            </w:r>
          </w:p>
        </w:tc>
        <w:tc>
          <w:p>
            <w:pPr>
              <w:pStyle w:val="Compact"/>
              <w:jc w:val="center"/>
            </w:pPr>
            <w:r>
              <w:t xml:space="preserve">914</w:t>
            </w:r>
          </w:p>
        </w:tc>
        <w:tc>
          <w:p>
            <w:pPr>
              <w:pStyle w:val="Compact"/>
              <w:jc w:val="center"/>
            </w:pPr>
            <w:r>
              <w:t xml:space="preserve">1153</w:t>
            </w:r>
          </w:p>
        </w:tc>
        <w:tc>
          <w:p>
            <w:pPr>
              <w:pStyle w:val="Compact"/>
              <w:jc w:val="center"/>
            </w:pPr>
            <w:r>
              <w:t xml:space="preserve">651</w:t>
            </w:r>
          </w:p>
        </w:tc>
        <w:tc>
          <w:p>
            <w:pPr>
              <w:pStyle w:val="Compact"/>
              <w:jc w:val="center"/>
            </w:pPr>
            <w:r>
              <w:t xml:space="preserve">3829</w:t>
            </w:r>
          </w:p>
        </w:tc>
        <w:tc>
          <w:p>
            <w:pPr>
              <w:pStyle w:val="Compact"/>
              <w:jc w:val="center"/>
            </w:pPr>
            <w:r>
              <w:t xml:space="preserve">OneWay_Test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Age at Diagnosis</w:t>
            </w:r>
          </w:p>
        </w:tc>
        <w:tc>
          <w:p>
            <w:pPr>
              <w:pStyle w:val="Compact"/>
              <w:jc w:val="center"/>
            </w:pPr>
            <w:r>
              <w:t xml:space="preserve">Mean (se)</w:t>
            </w:r>
          </w:p>
        </w:tc>
        <w:tc>
          <w:p>
            <w:pPr>
              <w:pStyle w:val="Compact"/>
              <w:jc w:val="center"/>
            </w:pPr>
            <w:r>
              <w:t xml:space="preserve">61.5( ± 0.3 )</w:t>
            </w:r>
          </w:p>
        </w:tc>
        <w:tc>
          <w:p>
            <w:pPr>
              <w:pStyle w:val="Compact"/>
              <w:jc w:val="center"/>
            </w:pPr>
            <w:r>
              <w:t xml:space="preserve">60.5( ± 0.4 )</w:t>
            </w:r>
          </w:p>
        </w:tc>
        <w:tc>
          <w:p>
            <w:pPr>
              <w:pStyle w:val="Compact"/>
              <w:jc w:val="center"/>
            </w:pPr>
            <w:r>
              <w:t xml:space="preserve">57.9( ± 0.3 )</w:t>
            </w:r>
          </w:p>
        </w:tc>
        <w:tc>
          <w:p>
            <w:pPr>
              <w:pStyle w:val="Compact"/>
              <w:jc w:val="center"/>
            </w:pPr>
            <w:r>
              <w:t xml:space="preserve">62.7( ± 0.4 )</w:t>
            </w:r>
          </w:p>
        </w:tc>
        <w:tc>
          <w:p>
            <w:pPr>
              <w:pStyle w:val="Compact"/>
              <w:jc w:val="center"/>
            </w:pPr>
            <w:r>
              <w:t xml:space="preserve">60.4( ± 0.2 )</w:t>
            </w:r>
          </w:p>
        </w:tc>
        <w:tc>
          <w:p>
            <w:pPr>
              <w:pStyle w:val="Compact"/>
              <w:jc w:val="center"/>
            </w:pPr>
            <w:r>
              <w:t xml:space="preserve">&lt; 0.001</w:t>
            </w:r>
          </w:p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Median (IQR)</w:t>
            </w:r>
          </w:p>
        </w:tc>
        <w:tc>
          <w:p>
            <w:pPr>
              <w:pStyle w:val="Compact"/>
              <w:jc w:val="center"/>
            </w:pPr>
            <w:r>
              <w:t xml:space="preserve">62( ± 14 )</w:t>
            </w:r>
          </w:p>
        </w:tc>
        <w:tc>
          <w:p>
            <w:pPr>
              <w:pStyle w:val="Compact"/>
              <w:jc w:val="center"/>
            </w:pPr>
            <w:r>
              <w:t xml:space="preserve">60( ± 15 )</w:t>
            </w:r>
          </w:p>
        </w:tc>
        <w:tc>
          <w:p>
            <w:pPr>
              <w:pStyle w:val="Compact"/>
              <w:jc w:val="center"/>
            </w:pPr>
            <w:r>
              <w:t xml:space="preserve">58( ± 15 )</w:t>
            </w:r>
          </w:p>
        </w:tc>
        <w:tc>
          <w:p>
            <w:pPr>
              <w:pStyle w:val="Compact"/>
              <w:jc w:val="center"/>
            </w:pPr>
            <w:r>
              <w:t xml:space="preserve">63( ± 14 )</w:t>
            </w:r>
          </w:p>
        </w:tc>
        <w:tc>
          <w:p>
            <w:pPr>
              <w:pStyle w:val="Compact"/>
              <w:jc w:val="center"/>
            </w:pPr>
            <w:r>
              <w:t xml:space="preserve">61( ± 15 )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Missing</w:t>
            </w:r>
          </w:p>
        </w:tc>
        <w:tc>
          <w:p>
            <w:pPr>
              <w:pStyle w:val="Compact"/>
              <w:jc w:val="center"/>
            </w:pPr>
            <w:r>
              <w:t xml:space="preserve">35</w:t>
            </w:r>
          </w:p>
        </w:tc>
        <w:tc>
          <w:p>
            <w:pPr>
              <w:pStyle w:val="Compact"/>
              <w:jc w:val="center"/>
            </w:pPr>
            <w:r>
              <w:t xml:space="preserve">19</w:t>
            </w:r>
          </w:p>
        </w:tc>
        <w:tc>
          <w:p>
            <w:pPr>
              <w:pStyle w:val="Compact"/>
              <w:jc w:val="center"/>
            </w:pPr>
            <w:r>
              <w:t xml:space="preserve">21</w:t>
            </w:r>
          </w:p>
        </w:tc>
        <w:tc>
          <w:p>
            <w:pPr>
              <w:pStyle w:val="Compact"/>
              <w:jc w:val="center"/>
            </w:pPr>
            <w:r>
              <w:t xml:space="preserve">24</w:t>
            </w:r>
          </w:p>
        </w:tc>
        <w:tc>
          <w:p>
            <w:pPr>
              <w:pStyle w:val="Compact"/>
              <w:jc w:val="center"/>
            </w:pPr>
            <w:r>
              <w:t xml:space="preserve">99</w:t>
            </w:r>
          </w:p>
        </w:tc>
        <w:tc>
          <w:p/>
        </w:tc>
      </w:tr>
      <w:tr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PearsonChi_square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Stage</w:t>
            </w:r>
          </w:p>
        </w:tc>
        <w:tc>
          <w:p>
            <w:pPr>
              <w:pStyle w:val="Compact"/>
              <w:jc w:val="center"/>
            </w:pPr>
            <w:r>
              <w:t xml:space="preserve">low</w:t>
            </w:r>
          </w:p>
        </w:tc>
        <w:tc>
          <w:p>
            <w:pPr>
              <w:pStyle w:val="Compact"/>
              <w:jc w:val="center"/>
            </w:pPr>
            <w:r>
              <w:t xml:space="preserve">54(5.1%)</w:t>
            </w:r>
          </w:p>
        </w:tc>
        <w:tc>
          <w:p>
            <w:pPr>
              <w:pStyle w:val="Compact"/>
              <w:jc w:val="center"/>
            </w:pPr>
            <w:r>
              <w:t xml:space="preserve">163(18.9%)</w:t>
            </w:r>
          </w:p>
        </w:tc>
        <w:tc>
          <w:p>
            <w:pPr>
              <w:pStyle w:val="Compact"/>
              <w:jc w:val="center"/>
            </w:pPr>
            <w:r>
              <w:t xml:space="preserve">278(25.4%)</w:t>
            </w:r>
          </w:p>
        </w:tc>
        <w:tc>
          <w:p>
            <w:pPr>
              <w:pStyle w:val="Compact"/>
              <w:jc w:val="center"/>
            </w:pPr>
            <w:r>
              <w:t xml:space="preserve">107(17.3%)</w:t>
            </w:r>
          </w:p>
        </w:tc>
        <w:tc>
          <w:p>
            <w:pPr>
              <w:pStyle w:val="Compact"/>
              <w:jc w:val="center"/>
            </w:pPr>
            <w:r>
              <w:t xml:space="preserve">602(16.6%)</w:t>
            </w:r>
          </w:p>
        </w:tc>
        <w:tc>
          <w:p>
            <w:pPr>
              <w:pStyle w:val="Compact"/>
              <w:jc w:val="center"/>
            </w:pPr>
            <w:r>
              <w:t xml:space="preserve">&lt; 0.001</w:t>
            </w:r>
          </w:p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996(94.9%)</w:t>
            </w:r>
          </w:p>
        </w:tc>
        <w:tc>
          <w:p>
            <w:pPr>
              <w:pStyle w:val="Compact"/>
              <w:jc w:val="center"/>
            </w:pPr>
            <w:r>
              <w:t xml:space="preserve">698(81.1%)</w:t>
            </w:r>
          </w:p>
        </w:tc>
        <w:tc>
          <w:p>
            <w:pPr>
              <w:pStyle w:val="Compact"/>
              <w:jc w:val="center"/>
            </w:pPr>
            <w:r>
              <w:t xml:space="preserve">816(74.6%)</w:t>
            </w:r>
          </w:p>
        </w:tc>
        <w:tc>
          <w:p>
            <w:pPr>
              <w:pStyle w:val="Compact"/>
              <w:jc w:val="center"/>
            </w:pPr>
            <w:r>
              <w:t xml:space="preserve">510(82.7%)</w:t>
            </w:r>
          </w:p>
        </w:tc>
        <w:tc>
          <w:p>
            <w:pPr>
              <w:pStyle w:val="Compact"/>
              <w:jc w:val="center"/>
            </w:pPr>
            <w:r>
              <w:t xml:space="preserve">3020(83.4%)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Missing</w:t>
            </w:r>
          </w:p>
        </w:tc>
        <w:tc>
          <w:p>
            <w:pPr>
              <w:pStyle w:val="Compact"/>
              <w:jc w:val="center"/>
            </w:pPr>
            <w:r>
              <w:t xml:space="preserve">61</w:t>
            </w:r>
          </w:p>
        </w:tc>
        <w:tc>
          <w:p>
            <w:pPr>
              <w:pStyle w:val="Compact"/>
              <w:jc w:val="center"/>
            </w:pPr>
            <w:r>
              <w:t xml:space="preserve">53</w:t>
            </w:r>
          </w:p>
        </w:tc>
        <w:tc>
          <w:p>
            <w:pPr>
              <w:pStyle w:val="Compact"/>
              <w:jc w:val="center"/>
            </w:pPr>
            <w:r>
              <w:t xml:space="preserve">59</w:t>
            </w:r>
          </w:p>
        </w:tc>
        <w:tc>
          <w:p>
            <w:pPr>
              <w:pStyle w:val="Compact"/>
              <w:jc w:val="center"/>
            </w:pPr>
            <w:r>
              <w:t xml:space="preserve">34</w:t>
            </w:r>
          </w:p>
        </w:tc>
        <w:tc>
          <w:p>
            <w:pPr>
              <w:pStyle w:val="Compact"/>
              <w:jc w:val="center"/>
            </w:pPr>
            <w:r>
              <w:t xml:space="preserve">207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Residual Disease</w:t>
            </w:r>
          </w:p>
        </w:tc>
        <w:tc>
          <w:p>
            <w:pPr>
              <w:pStyle w:val="Compact"/>
              <w:jc w:val="center"/>
            </w:pPr>
            <w:r>
              <w:t xml:space="preserve">no residual</w:t>
            </w:r>
          </w:p>
        </w:tc>
        <w:tc>
          <w:p>
            <w:pPr>
              <w:pStyle w:val="Compact"/>
              <w:jc w:val="center"/>
            </w:pPr>
            <w:r>
              <w:t xml:space="preserve">123(22.9%)</w:t>
            </w:r>
          </w:p>
        </w:tc>
        <w:tc>
          <w:p>
            <w:pPr>
              <w:pStyle w:val="Compact"/>
              <w:jc w:val="center"/>
            </w:pPr>
            <w:r>
              <w:t xml:space="preserve">149(36.3%)</w:t>
            </w:r>
          </w:p>
        </w:tc>
        <w:tc>
          <w:p>
            <w:pPr>
              <w:pStyle w:val="Compact"/>
              <w:jc w:val="center"/>
            </w:pPr>
            <w:r>
              <w:t xml:space="preserve">213(42.1%)</w:t>
            </w:r>
          </w:p>
        </w:tc>
        <w:tc>
          <w:p>
            <w:pPr>
              <w:pStyle w:val="Compact"/>
              <w:jc w:val="center"/>
            </w:pPr>
            <w:r>
              <w:t xml:space="preserve">129(42.3%)</w:t>
            </w:r>
          </w:p>
        </w:tc>
        <w:tc>
          <w:p>
            <w:pPr>
              <w:pStyle w:val="Compact"/>
              <w:jc w:val="center"/>
            </w:pPr>
            <w:r>
              <w:t xml:space="preserve">614(34.9%)</w:t>
            </w:r>
          </w:p>
        </w:tc>
        <w:tc>
          <w:p>
            <w:pPr>
              <w:pStyle w:val="Compact"/>
              <w:jc w:val="center"/>
            </w:pPr>
            <w:r>
              <w:t xml:space="preserve">&lt; 0.001</w:t>
            </w:r>
          </w:p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any residual</w:t>
            </w:r>
          </w:p>
        </w:tc>
        <w:tc>
          <w:p>
            <w:pPr>
              <w:pStyle w:val="Compact"/>
              <w:jc w:val="center"/>
            </w:pPr>
            <w:r>
              <w:t xml:space="preserve">413(77.1%)</w:t>
            </w:r>
          </w:p>
        </w:tc>
        <w:tc>
          <w:p>
            <w:pPr>
              <w:pStyle w:val="Compact"/>
              <w:jc w:val="center"/>
            </w:pPr>
            <w:r>
              <w:t xml:space="preserve">261(63.7%)</w:t>
            </w:r>
          </w:p>
        </w:tc>
        <w:tc>
          <w:p>
            <w:pPr>
              <w:pStyle w:val="Compact"/>
              <w:jc w:val="center"/>
            </w:pPr>
            <w:r>
              <w:t xml:space="preserve">293(57.9%)</w:t>
            </w:r>
          </w:p>
        </w:tc>
        <w:tc>
          <w:p>
            <w:pPr>
              <w:pStyle w:val="Compact"/>
              <w:jc w:val="center"/>
            </w:pPr>
            <w:r>
              <w:t xml:space="preserve">176(57.7%)</w:t>
            </w:r>
          </w:p>
        </w:tc>
        <w:tc>
          <w:p>
            <w:pPr>
              <w:pStyle w:val="Compact"/>
              <w:jc w:val="center"/>
            </w:pPr>
            <w:r>
              <w:t xml:space="preserve">1143(65.1%)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Missing</w:t>
            </w:r>
          </w:p>
        </w:tc>
        <w:tc>
          <w:p>
            <w:pPr>
              <w:pStyle w:val="Compact"/>
              <w:jc w:val="center"/>
            </w:pPr>
            <w:r>
              <w:t xml:space="preserve">575</w:t>
            </w:r>
          </w:p>
        </w:tc>
        <w:tc>
          <w:p>
            <w:pPr>
              <w:pStyle w:val="Compact"/>
              <w:jc w:val="center"/>
            </w:pPr>
            <w:r>
              <w:t xml:space="preserve">504</w:t>
            </w:r>
          </w:p>
        </w:tc>
        <w:tc>
          <w:p>
            <w:pPr>
              <w:pStyle w:val="Compact"/>
              <w:jc w:val="center"/>
            </w:pPr>
            <w:r>
              <w:t xml:space="preserve">647</w:t>
            </w:r>
          </w:p>
        </w:tc>
        <w:tc>
          <w:p>
            <w:pPr>
              <w:pStyle w:val="Compact"/>
              <w:jc w:val="center"/>
            </w:pPr>
            <w:r>
              <w:t xml:space="preserve">346</w:t>
            </w:r>
          </w:p>
        </w:tc>
        <w:tc>
          <w:p>
            <w:pPr>
              <w:pStyle w:val="Compact"/>
              <w:jc w:val="center"/>
            </w:pPr>
            <w:r>
              <w:t xml:space="preserve">2072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Necrosis</w:t>
            </w:r>
          </w:p>
        </w:tc>
        <w:tc>
          <w:p>
            <w:pPr>
              <w:pStyle w:val="Compact"/>
              <w:jc w:val="center"/>
            </w:pPr>
            <w:r>
              <w:t xml:space="preserve">none</w:t>
            </w:r>
          </w:p>
        </w:tc>
        <w:tc>
          <w:p>
            <w:pPr>
              <w:pStyle w:val="Compact"/>
              <w:jc w:val="center"/>
            </w:pPr>
            <w:r>
              <w:t xml:space="preserve">350(37%)</w:t>
            </w:r>
          </w:p>
        </w:tc>
        <w:tc>
          <w:p>
            <w:pPr>
              <w:pStyle w:val="Compact"/>
              <w:jc w:val="center"/>
            </w:pPr>
            <w:r>
              <w:t xml:space="preserve">217(28.6%)</w:t>
            </w:r>
          </w:p>
        </w:tc>
        <w:tc>
          <w:p>
            <w:pPr>
              <w:pStyle w:val="Compact"/>
              <w:jc w:val="center"/>
            </w:pPr>
            <w:r>
              <w:t xml:space="preserve">277(31.1%)</w:t>
            </w:r>
          </w:p>
        </w:tc>
        <w:tc>
          <w:p>
            <w:pPr>
              <w:pStyle w:val="Compact"/>
              <w:jc w:val="center"/>
            </w:pPr>
            <w:r>
              <w:t xml:space="preserve">141(28.4%)</w:t>
            </w:r>
          </w:p>
        </w:tc>
        <w:tc>
          <w:p>
            <w:pPr>
              <w:pStyle w:val="Compact"/>
              <w:jc w:val="center"/>
            </w:pPr>
            <w:r>
              <w:t xml:space="preserve">985(31.8%)</w:t>
            </w:r>
          </w:p>
        </w:tc>
        <w:tc>
          <w:p>
            <w:pPr>
              <w:pStyle w:val="Compact"/>
              <w:jc w:val="center"/>
            </w:pPr>
            <w:r>
              <w:t xml:space="preserve">&lt; 0.001</w:t>
            </w:r>
          </w:p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&lt;=20%</w:t>
            </w:r>
          </w:p>
        </w:tc>
        <w:tc>
          <w:p>
            <w:pPr>
              <w:pStyle w:val="Compact"/>
              <w:jc w:val="center"/>
            </w:pPr>
            <w:r>
              <w:t xml:space="preserve">556(58.8%)</w:t>
            </w:r>
          </w:p>
        </w:tc>
        <w:tc>
          <w:p>
            <w:pPr>
              <w:pStyle w:val="Compact"/>
              <w:jc w:val="center"/>
            </w:pPr>
            <w:r>
              <w:t xml:space="preserve">465(61.2%)</w:t>
            </w:r>
          </w:p>
        </w:tc>
        <w:tc>
          <w:p>
            <w:pPr>
              <w:pStyle w:val="Compact"/>
              <w:jc w:val="center"/>
            </w:pPr>
            <w:r>
              <w:t xml:space="preserve">562(63.1%)</w:t>
            </w:r>
          </w:p>
        </w:tc>
        <w:tc>
          <w:p>
            <w:pPr>
              <w:pStyle w:val="Compact"/>
              <w:jc w:val="center"/>
            </w:pPr>
            <w:r>
              <w:t xml:space="preserve">315(63.4%)</w:t>
            </w:r>
          </w:p>
        </w:tc>
        <w:tc>
          <w:p>
            <w:pPr>
              <w:pStyle w:val="Compact"/>
              <w:jc w:val="center"/>
            </w:pPr>
            <w:r>
              <w:t xml:space="preserve">1898(61.4%)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&gt;20%</w:t>
            </w:r>
          </w:p>
        </w:tc>
        <w:tc>
          <w:p>
            <w:pPr>
              <w:pStyle w:val="Compact"/>
              <w:jc w:val="center"/>
            </w:pPr>
            <w:r>
              <w:t xml:space="preserve">39(4.1%)</w:t>
            </w:r>
          </w:p>
        </w:tc>
        <w:tc>
          <w:p>
            <w:pPr>
              <w:pStyle w:val="Compact"/>
              <w:jc w:val="center"/>
            </w:pPr>
            <w:r>
              <w:t xml:space="preserve">78(10.3%)</w:t>
            </w:r>
          </w:p>
        </w:tc>
        <w:tc>
          <w:p>
            <w:pPr>
              <w:pStyle w:val="Compact"/>
              <w:jc w:val="center"/>
            </w:pPr>
            <w:r>
              <w:t xml:space="preserve">52(5.8%)</w:t>
            </w:r>
          </w:p>
        </w:tc>
        <w:tc>
          <w:p>
            <w:pPr>
              <w:pStyle w:val="Compact"/>
              <w:jc w:val="center"/>
            </w:pPr>
            <w:r>
              <w:t xml:space="preserve">41(8.2%)</w:t>
            </w:r>
          </w:p>
        </w:tc>
        <w:tc>
          <w:p>
            <w:pPr>
              <w:pStyle w:val="Compact"/>
              <w:jc w:val="center"/>
            </w:pPr>
            <w:r>
              <w:t xml:space="preserve">210(6.8%)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Missing</w:t>
            </w:r>
          </w:p>
        </w:tc>
        <w:tc>
          <w:p>
            <w:pPr>
              <w:pStyle w:val="Compact"/>
              <w:jc w:val="center"/>
            </w:pPr>
            <w:r>
              <w:t xml:space="preserve">166</w:t>
            </w:r>
          </w:p>
        </w:tc>
        <w:tc>
          <w:p>
            <w:pPr>
              <w:pStyle w:val="Compact"/>
              <w:jc w:val="center"/>
            </w:pPr>
            <w:r>
              <w:t xml:space="preserve">154</w:t>
            </w:r>
          </w:p>
        </w:tc>
        <w:tc>
          <w:p>
            <w:pPr>
              <w:pStyle w:val="Compact"/>
              <w:jc w:val="center"/>
            </w:pPr>
            <w:r>
              <w:t xml:space="preserve">262</w:t>
            </w:r>
          </w:p>
        </w:tc>
        <w:tc>
          <w:p>
            <w:pPr>
              <w:pStyle w:val="Compact"/>
              <w:jc w:val="center"/>
            </w:pPr>
            <w:r>
              <w:t xml:space="preserve">154</w:t>
            </w:r>
          </w:p>
        </w:tc>
        <w:tc>
          <w:p>
            <w:pPr>
              <w:pStyle w:val="Compact"/>
              <w:jc w:val="center"/>
            </w:pPr>
            <w:r>
              <w:t xml:space="preserve">736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BRCA 1/2</w:t>
            </w:r>
          </w:p>
        </w:tc>
        <w:tc>
          <w:p>
            <w:pPr>
              <w:pStyle w:val="Compact"/>
              <w:jc w:val="center"/>
            </w:pPr>
            <w:r>
              <w:t xml:space="preserve">all wildtypes</w:t>
            </w:r>
          </w:p>
        </w:tc>
        <w:tc>
          <w:p>
            <w:pPr>
              <w:pStyle w:val="Compact"/>
              <w:jc w:val="center"/>
            </w:pPr>
            <w:r>
              <w:t xml:space="preserve">201(74.7%)</w:t>
            </w:r>
          </w:p>
        </w:tc>
        <w:tc>
          <w:p>
            <w:pPr>
              <w:pStyle w:val="Compact"/>
              <w:jc w:val="center"/>
            </w:pPr>
            <w:r>
              <w:t xml:space="preserve">153(78.9%)</w:t>
            </w:r>
          </w:p>
        </w:tc>
        <w:tc>
          <w:p>
            <w:pPr>
              <w:pStyle w:val="Compact"/>
              <w:jc w:val="center"/>
            </w:pPr>
            <w:r>
              <w:t xml:space="preserve">202(73.2%)</w:t>
            </w:r>
          </w:p>
        </w:tc>
        <w:tc>
          <w:p>
            <w:pPr>
              <w:pStyle w:val="Compact"/>
              <w:jc w:val="center"/>
            </w:pPr>
            <w:r>
              <w:t xml:space="preserve">115(83.3%)</w:t>
            </w:r>
          </w:p>
        </w:tc>
        <w:tc>
          <w:p>
            <w:pPr>
              <w:pStyle w:val="Compact"/>
              <w:jc w:val="center"/>
            </w:pPr>
            <w:r>
              <w:t xml:space="preserve">671(76.5%)</w:t>
            </w:r>
          </w:p>
        </w:tc>
        <w:tc>
          <w:p>
            <w:pPr>
              <w:pStyle w:val="Compact"/>
              <w:jc w:val="center"/>
            </w:pPr>
            <w:r>
              <w:t xml:space="preserve">0.38</w:t>
            </w:r>
          </w:p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pathogenic BRCA1 mutation</w:t>
            </w:r>
          </w:p>
        </w:tc>
        <w:tc>
          <w:p>
            <w:pPr>
              <w:pStyle w:val="Compact"/>
              <w:jc w:val="center"/>
            </w:pPr>
            <w:r>
              <w:t xml:space="preserve">45(16.7%)</w:t>
            </w:r>
          </w:p>
        </w:tc>
        <w:tc>
          <w:p>
            <w:pPr>
              <w:pStyle w:val="Compact"/>
              <w:jc w:val="center"/>
            </w:pPr>
            <w:r>
              <w:t xml:space="preserve">28(14.4%)</w:t>
            </w:r>
          </w:p>
        </w:tc>
        <w:tc>
          <w:p>
            <w:pPr>
              <w:pStyle w:val="Compact"/>
              <w:jc w:val="center"/>
            </w:pPr>
            <w:r>
              <w:t xml:space="preserve">48(17.4%)</w:t>
            </w:r>
          </w:p>
        </w:tc>
        <w:tc>
          <w:p>
            <w:pPr>
              <w:pStyle w:val="Compact"/>
              <w:jc w:val="center"/>
            </w:pPr>
            <w:r>
              <w:t xml:space="preserve">11(8%)</w:t>
            </w:r>
          </w:p>
        </w:tc>
        <w:tc>
          <w:p>
            <w:pPr>
              <w:pStyle w:val="Compact"/>
              <w:jc w:val="center"/>
            </w:pPr>
            <w:r>
              <w:t xml:space="preserve">132(15.1%)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pathogenic BRCA2 mutation</w:t>
            </w:r>
          </w:p>
        </w:tc>
        <w:tc>
          <w:p>
            <w:pPr>
              <w:pStyle w:val="Compact"/>
              <w:jc w:val="center"/>
            </w:pPr>
            <w:r>
              <w:t xml:space="preserve">22(8.2%)</w:t>
            </w:r>
          </w:p>
        </w:tc>
        <w:tc>
          <w:p>
            <w:pPr>
              <w:pStyle w:val="Compact"/>
              <w:jc w:val="center"/>
            </w:pPr>
            <w:r>
              <w:t xml:space="preserve">13(6.7%)</w:t>
            </w:r>
          </w:p>
        </w:tc>
        <w:tc>
          <w:p>
            <w:pPr>
              <w:pStyle w:val="Compact"/>
              <w:jc w:val="center"/>
            </w:pPr>
            <w:r>
              <w:t xml:space="preserve">25(9.1%)</w:t>
            </w:r>
          </w:p>
        </w:tc>
        <w:tc>
          <w:p>
            <w:pPr>
              <w:pStyle w:val="Compact"/>
              <w:jc w:val="center"/>
            </w:pPr>
            <w:r>
              <w:t xml:space="preserve">12(8.7%)</w:t>
            </w:r>
          </w:p>
        </w:tc>
        <w:tc>
          <w:p>
            <w:pPr>
              <w:pStyle w:val="Compact"/>
              <w:jc w:val="center"/>
            </w:pPr>
            <w:r>
              <w:t xml:space="preserve">72(8.2%)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pathogenic NOS</w:t>
            </w:r>
          </w:p>
        </w:tc>
        <w:tc>
          <w:p>
            <w:pPr>
              <w:pStyle w:val="Compact"/>
              <w:jc w:val="center"/>
            </w:pPr>
            <w:r>
              <w:t xml:space="preserve">1(0.4%)</w:t>
            </w:r>
          </w:p>
        </w:tc>
        <w:tc>
          <w:p>
            <w:pPr>
              <w:pStyle w:val="Compact"/>
              <w:jc w:val="center"/>
            </w:pPr>
            <w:r>
              <w:t xml:space="preserve">0(0%)</w:t>
            </w:r>
          </w:p>
        </w:tc>
        <w:tc>
          <w:p>
            <w:pPr>
              <w:pStyle w:val="Compact"/>
              <w:jc w:val="center"/>
            </w:pPr>
            <w:r>
              <w:t xml:space="preserve">1(0.4%)</w:t>
            </w:r>
          </w:p>
        </w:tc>
        <w:tc>
          <w:p>
            <w:pPr>
              <w:pStyle w:val="Compact"/>
              <w:jc w:val="center"/>
            </w:pPr>
            <w:r>
              <w:t xml:space="preserve">0(0%)</w:t>
            </w:r>
          </w:p>
        </w:tc>
        <w:tc>
          <w:p>
            <w:pPr>
              <w:pStyle w:val="Compact"/>
              <w:jc w:val="center"/>
            </w:pPr>
            <w:r>
              <w:t xml:space="preserve">2(0.2%)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Missing</w:t>
            </w:r>
          </w:p>
        </w:tc>
        <w:tc>
          <w:p>
            <w:pPr>
              <w:pStyle w:val="Compact"/>
              <w:jc w:val="center"/>
            </w:pPr>
            <w:r>
              <w:t xml:space="preserve">842</w:t>
            </w:r>
          </w:p>
        </w:tc>
        <w:tc>
          <w:p>
            <w:pPr>
              <w:pStyle w:val="Compact"/>
              <w:jc w:val="center"/>
            </w:pPr>
            <w:r>
              <w:t xml:space="preserve">720</w:t>
            </w:r>
          </w:p>
        </w:tc>
        <w:tc>
          <w:p>
            <w:pPr>
              <w:pStyle w:val="Compact"/>
              <w:jc w:val="center"/>
            </w:pPr>
            <w:r>
              <w:t xml:space="preserve">877</w:t>
            </w:r>
          </w:p>
        </w:tc>
        <w:tc>
          <w:p>
            <w:pPr>
              <w:pStyle w:val="Compact"/>
              <w:jc w:val="center"/>
            </w:pPr>
            <w:r>
              <w:t xml:space="preserve">513</w:t>
            </w:r>
          </w:p>
        </w:tc>
        <w:tc>
          <w:p>
            <w:pPr>
              <w:pStyle w:val="Compact"/>
              <w:jc w:val="center"/>
            </w:pPr>
            <w:r>
              <w:t xml:space="preserve">2952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Race</w:t>
            </w:r>
          </w:p>
        </w:tc>
        <w:tc>
          <w:p>
            <w:pPr>
              <w:pStyle w:val="Compact"/>
              <w:jc w:val="center"/>
            </w:pPr>
            <w:r>
              <w:t xml:space="preserve">white</w:t>
            </w:r>
          </w:p>
        </w:tc>
        <w:tc>
          <w:p>
            <w:pPr>
              <w:pStyle w:val="Compact"/>
              <w:jc w:val="center"/>
            </w:pPr>
            <w:r>
              <w:t xml:space="preserve">566(78.7%)</w:t>
            </w:r>
          </w:p>
        </w:tc>
        <w:tc>
          <w:p>
            <w:pPr>
              <w:pStyle w:val="Compact"/>
              <w:jc w:val="center"/>
            </w:pPr>
            <w:r>
              <w:t xml:space="preserve">518(80.1%)</w:t>
            </w:r>
          </w:p>
        </w:tc>
        <w:tc>
          <w:p>
            <w:pPr>
              <w:pStyle w:val="Compact"/>
              <w:jc w:val="center"/>
            </w:pPr>
            <w:r>
              <w:t xml:space="preserve">683(81.3%)</w:t>
            </w:r>
          </w:p>
        </w:tc>
        <w:tc>
          <w:p>
            <w:pPr>
              <w:pStyle w:val="Compact"/>
              <w:jc w:val="center"/>
            </w:pPr>
            <w:r>
              <w:t xml:space="preserve">366(85.3%)</w:t>
            </w:r>
          </w:p>
        </w:tc>
        <w:tc>
          <w:p>
            <w:pPr>
              <w:pStyle w:val="Compact"/>
              <w:jc w:val="center"/>
            </w:pPr>
            <w:r>
              <w:t xml:space="preserve">2133(80.9%)</w:t>
            </w:r>
          </w:p>
        </w:tc>
        <w:tc>
          <w:p>
            <w:pPr>
              <w:pStyle w:val="Compact"/>
              <w:jc w:val="center"/>
            </w:pPr>
            <w:r>
              <w:t xml:space="preserve">0.02</w:t>
            </w:r>
          </w:p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hispanic</w:t>
            </w:r>
          </w:p>
        </w:tc>
        <w:tc>
          <w:p>
            <w:pPr>
              <w:pStyle w:val="Compact"/>
              <w:jc w:val="center"/>
            </w:pPr>
            <w:r>
              <w:t xml:space="preserve">151(21%)</w:t>
            </w:r>
          </w:p>
        </w:tc>
        <w:tc>
          <w:p>
            <w:pPr>
              <w:pStyle w:val="Compact"/>
              <w:jc w:val="center"/>
            </w:pPr>
            <w:r>
              <w:t xml:space="preserve">121(18.7%)</w:t>
            </w:r>
          </w:p>
        </w:tc>
        <w:tc>
          <w:p>
            <w:pPr>
              <w:pStyle w:val="Compact"/>
              <w:jc w:val="center"/>
            </w:pPr>
            <w:r>
              <w:t xml:space="preserve">153(18.2%)</w:t>
            </w:r>
          </w:p>
        </w:tc>
        <w:tc>
          <w:p>
            <w:pPr>
              <w:pStyle w:val="Compact"/>
              <w:jc w:val="center"/>
            </w:pPr>
            <w:r>
              <w:t xml:space="preserve">62(14.5%)</w:t>
            </w:r>
          </w:p>
        </w:tc>
        <w:tc>
          <w:p>
            <w:pPr>
              <w:pStyle w:val="Compact"/>
              <w:jc w:val="center"/>
            </w:pPr>
            <w:r>
              <w:t xml:space="preserve">487(18.5%)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other</w:t>
            </w:r>
          </w:p>
        </w:tc>
        <w:tc>
          <w:p>
            <w:pPr>
              <w:pStyle w:val="Compact"/>
              <w:jc w:val="center"/>
            </w:pPr>
            <w:r>
              <w:t xml:space="preserve">2(0.3%)</w:t>
            </w:r>
          </w:p>
        </w:tc>
        <w:tc>
          <w:p>
            <w:pPr>
              <w:pStyle w:val="Compact"/>
              <w:jc w:val="center"/>
            </w:pPr>
            <w:r>
              <w:t xml:space="preserve">8(1.2%)</w:t>
            </w:r>
          </w:p>
        </w:tc>
        <w:tc>
          <w:p>
            <w:pPr>
              <w:pStyle w:val="Compact"/>
              <w:jc w:val="center"/>
            </w:pPr>
            <w:r>
              <w:t xml:space="preserve">4(0.5%)</w:t>
            </w:r>
          </w:p>
        </w:tc>
        <w:tc>
          <w:p>
            <w:pPr>
              <w:pStyle w:val="Compact"/>
              <w:jc w:val="center"/>
            </w:pPr>
            <w:r>
              <w:t xml:space="preserve">1(0.2%)</w:t>
            </w:r>
          </w:p>
        </w:tc>
        <w:tc>
          <w:p>
            <w:pPr>
              <w:pStyle w:val="Compact"/>
              <w:jc w:val="center"/>
            </w:pPr>
            <w:r>
              <w:t xml:space="preserve">15(0.6%)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Missing</w:t>
            </w:r>
          </w:p>
        </w:tc>
        <w:tc>
          <w:p>
            <w:pPr>
              <w:pStyle w:val="Compact"/>
              <w:jc w:val="center"/>
            </w:pPr>
            <w:r>
              <w:t xml:space="preserve">392</w:t>
            </w:r>
          </w:p>
        </w:tc>
        <w:tc>
          <w:p>
            <w:pPr>
              <w:pStyle w:val="Compact"/>
              <w:jc w:val="center"/>
            </w:pPr>
            <w:r>
              <w:t xml:space="preserve">267</w:t>
            </w:r>
          </w:p>
        </w:tc>
        <w:tc>
          <w:p>
            <w:pPr>
              <w:pStyle w:val="Compact"/>
              <w:jc w:val="center"/>
            </w:pPr>
            <w:r>
              <w:t xml:space="preserve">313</w:t>
            </w:r>
          </w:p>
        </w:tc>
        <w:tc>
          <w:p>
            <w:pPr>
              <w:pStyle w:val="Compact"/>
              <w:jc w:val="center"/>
            </w:pPr>
            <w:r>
              <w:t xml:space="preserve">222</w:t>
            </w:r>
          </w:p>
        </w:tc>
        <w:tc>
          <w:p>
            <w:pPr>
              <w:pStyle w:val="Compact"/>
              <w:jc w:val="center"/>
            </w:pPr>
            <w:r>
              <w:t xml:space="preserve">1194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Anatomical Site</w:t>
            </w:r>
          </w:p>
        </w:tc>
        <w:tc>
          <w:p>
            <w:pPr>
              <w:pStyle w:val="Compact"/>
              <w:jc w:val="center"/>
            </w:pPr>
            <w:r>
              <w:t xml:space="preserve">adnexal</w:t>
            </w:r>
          </w:p>
        </w:tc>
        <w:tc>
          <w:p>
            <w:pPr>
              <w:pStyle w:val="Compact"/>
              <w:jc w:val="center"/>
            </w:pPr>
            <w:r>
              <w:t xml:space="preserve">384(34.6%)</w:t>
            </w:r>
          </w:p>
        </w:tc>
        <w:tc>
          <w:p>
            <w:pPr>
              <w:pStyle w:val="Compact"/>
              <w:jc w:val="center"/>
            </w:pPr>
            <w:r>
              <w:t xml:space="preserve">394(43.1%)</w:t>
            </w:r>
          </w:p>
        </w:tc>
        <w:tc>
          <w:p>
            <w:pPr>
              <w:pStyle w:val="Compact"/>
              <w:jc w:val="center"/>
            </w:pPr>
            <w:r>
              <w:t xml:space="preserve">473(41%)</w:t>
            </w:r>
          </w:p>
        </w:tc>
        <w:tc>
          <w:p>
            <w:pPr>
              <w:pStyle w:val="Compact"/>
              <w:jc w:val="center"/>
            </w:pPr>
            <w:r>
              <w:t xml:space="preserve">264(40.6%)</w:t>
            </w:r>
          </w:p>
        </w:tc>
        <w:tc>
          <w:p>
            <w:pPr>
              <w:pStyle w:val="Compact"/>
              <w:jc w:val="center"/>
            </w:pPr>
            <w:r>
              <w:t xml:space="preserve">1515(39.6%)</w:t>
            </w:r>
          </w:p>
        </w:tc>
        <w:tc>
          <w:p>
            <w:pPr>
              <w:pStyle w:val="Compact"/>
              <w:jc w:val="center"/>
            </w:pPr>
            <w:r>
              <w:t xml:space="preserve">&lt; 0.001</w:t>
            </w:r>
          </w:p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omentum</w:t>
            </w:r>
          </w:p>
        </w:tc>
        <w:tc>
          <w:p>
            <w:pPr>
              <w:pStyle w:val="Compact"/>
              <w:jc w:val="center"/>
            </w:pPr>
            <w:r>
              <w:t xml:space="preserve">248(22.3%)</w:t>
            </w:r>
          </w:p>
        </w:tc>
        <w:tc>
          <w:p>
            <w:pPr>
              <w:pStyle w:val="Compact"/>
              <w:jc w:val="center"/>
            </w:pPr>
            <w:r>
              <w:t xml:space="preserve">67(7.3%)</w:t>
            </w:r>
          </w:p>
        </w:tc>
        <w:tc>
          <w:p>
            <w:pPr>
              <w:pStyle w:val="Compact"/>
              <w:jc w:val="center"/>
            </w:pPr>
            <w:r>
              <w:t xml:space="preserve">24(2.1%)</w:t>
            </w:r>
          </w:p>
        </w:tc>
        <w:tc>
          <w:p>
            <w:pPr>
              <w:pStyle w:val="Compact"/>
              <w:jc w:val="center"/>
            </w:pPr>
            <w:r>
              <w:t xml:space="preserve">7(1.1%)</w:t>
            </w:r>
          </w:p>
        </w:tc>
        <w:tc>
          <w:p>
            <w:pPr>
              <w:pStyle w:val="Compact"/>
              <w:jc w:val="center"/>
            </w:pPr>
            <w:r>
              <w:t xml:space="preserve">346(9%)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peritoneal</w:t>
            </w:r>
          </w:p>
        </w:tc>
        <w:tc>
          <w:p>
            <w:pPr>
              <w:pStyle w:val="Compact"/>
              <w:jc w:val="center"/>
            </w:pPr>
            <w:r>
              <w:t xml:space="preserve">32(2.9%)</w:t>
            </w:r>
          </w:p>
        </w:tc>
        <w:tc>
          <w:p>
            <w:pPr>
              <w:pStyle w:val="Compact"/>
              <w:jc w:val="center"/>
            </w:pPr>
            <w:r>
              <w:t xml:space="preserve">16(1.8%)</w:t>
            </w:r>
          </w:p>
        </w:tc>
        <w:tc>
          <w:p>
            <w:pPr>
              <w:pStyle w:val="Compact"/>
              <w:jc w:val="center"/>
            </w:pPr>
            <w:r>
              <w:t xml:space="preserve">12(1%)</w:t>
            </w:r>
          </w:p>
        </w:tc>
        <w:tc>
          <w:p>
            <w:pPr>
              <w:pStyle w:val="Compact"/>
              <w:jc w:val="center"/>
            </w:pPr>
            <w:r>
              <w:t xml:space="preserve">10(1.5%)</w:t>
            </w:r>
          </w:p>
        </w:tc>
        <w:tc>
          <w:p>
            <w:pPr>
              <w:pStyle w:val="Compact"/>
              <w:jc w:val="center"/>
            </w:pPr>
            <w:r>
              <w:t xml:space="preserve">70(1.8%)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upper genital track</w:t>
            </w:r>
          </w:p>
        </w:tc>
        <w:tc>
          <w:p>
            <w:pPr>
              <w:pStyle w:val="Compact"/>
              <w:jc w:val="center"/>
            </w:pPr>
            <w:r>
              <w:t xml:space="preserve">8(0.7%)</w:t>
            </w:r>
          </w:p>
        </w:tc>
        <w:tc>
          <w:p>
            <w:pPr>
              <w:pStyle w:val="Compact"/>
              <w:jc w:val="center"/>
            </w:pPr>
            <w:r>
              <w:t xml:space="preserve">2(0.2%)</w:t>
            </w:r>
          </w:p>
        </w:tc>
        <w:tc>
          <w:p>
            <w:pPr>
              <w:pStyle w:val="Compact"/>
              <w:jc w:val="center"/>
            </w:pPr>
            <w:r>
              <w:t xml:space="preserve">2(0.2%)</w:t>
            </w:r>
          </w:p>
        </w:tc>
        <w:tc>
          <w:p>
            <w:pPr>
              <w:pStyle w:val="Compact"/>
              <w:jc w:val="center"/>
            </w:pPr>
            <w:r>
              <w:t xml:space="preserve">4(0.6%)</w:t>
            </w:r>
          </w:p>
        </w:tc>
        <w:tc>
          <w:p>
            <w:pPr>
              <w:pStyle w:val="Compact"/>
              <w:jc w:val="center"/>
            </w:pPr>
            <w:r>
              <w:t xml:space="preserve">16(0.4%)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lower genital track</w:t>
            </w:r>
          </w:p>
        </w:tc>
        <w:tc>
          <w:p>
            <w:pPr>
              <w:pStyle w:val="Compact"/>
              <w:jc w:val="center"/>
            </w:pPr>
            <w:r>
              <w:t xml:space="preserve">0(0%)</w:t>
            </w:r>
          </w:p>
        </w:tc>
        <w:tc>
          <w:p>
            <w:pPr>
              <w:pStyle w:val="Compact"/>
              <w:jc w:val="center"/>
            </w:pPr>
            <w:r>
              <w:t xml:space="preserve">1(0.1%)</w:t>
            </w:r>
          </w:p>
        </w:tc>
        <w:tc>
          <w:p>
            <w:pPr>
              <w:pStyle w:val="Compact"/>
              <w:jc w:val="center"/>
            </w:pPr>
            <w:r>
              <w:t xml:space="preserve">0(0%)</w:t>
            </w:r>
          </w:p>
        </w:tc>
        <w:tc>
          <w:p>
            <w:pPr>
              <w:pStyle w:val="Compact"/>
              <w:jc w:val="center"/>
            </w:pPr>
            <w:r>
              <w:t xml:space="preserve">0(0%)</w:t>
            </w:r>
          </w:p>
        </w:tc>
        <w:tc>
          <w:p>
            <w:pPr>
              <w:pStyle w:val="Compact"/>
              <w:jc w:val="center"/>
            </w:pPr>
            <w:r>
              <w:t xml:space="preserve">1(0%)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presumed adnexal</w:t>
            </w:r>
          </w:p>
        </w:tc>
        <w:tc>
          <w:p>
            <w:pPr>
              <w:pStyle w:val="Compact"/>
              <w:jc w:val="center"/>
            </w:pPr>
            <w:r>
              <w:t xml:space="preserve">439(39.5%)</w:t>
            </w:r>
          </w:p>
        </w:tc>
        <w:tc>
          <w:p>
            <w:pPr>
              <w:pStyle w:val="Compact"/>
              <w:jc w:val="center"/>
            </w:pPr>
            <w:r>
              <w:t xml:space="preserve">434(47.5%)</w:t>
            </w:r>
          </w:p>
        </w:tc>
        <w:tc>
          <w:p>
            <w:pPr>
              <w:pStyle w:val="Compact"/>
              <w:jc w:val="center"/>
            </w:pPr>
            <w:r>
              <w:t xml:space="preserve">642(55.7%)</w:t>
            </w:r>
          </w:p>
        </w:tc>
        <w:tc>
          <w:p>
            <w:pPr>
              <w:pStyle w:val="Compact"/>
              <w:jc w:val="center"/>
            </w:pPr>
            <w:r>
              <w:t xml:space="preserve">366(56.2%)</w:t>
            </w:r>
          </w:p>
        </w:tc>
        <w:tc>
          <w:p>
            <w:pPr>
              <w:pStyle w:val="Compact"/>
              <w:jc w:val="center"/>
            </w:pPr>
            <w:r>
              <w:t xml:space="preserve">1881(49.1%)</w:t>
            </w:r>
          </w:p>
        </w:tc>
        <w:tc>
          <w:p/>
        </w:tc>
      </w:tr>
    </w:tbl>
    <w:p>
      <w:pPr>
        <w:pStyle w:val="Heading3"/>
      </w:pPr>
      <w:bookmarkStart w:id="56" w:name="Xbd6f494cc3861bd154b146b7324de59e5036dc9"/>
      <w:r>
        <w:rPr>
          <w:i/>
        </w:rPr>
        <w:t xml:space="preserve">Table SC8:</w:t>
      </w:r>
      <w:r>
        <w:t xml:space="preserve"> </w:t>
      </w:r>
      <w:r>
        <w:t xml:space="preserve">Cohort characteristics for all known adnexal sites by subtype</w:t>
      </w:r>
      <w:bookmarkEnd w:id="56"/>
    </w:p>
    <w:p>
      <w:pPr>
        <w:pStyle w:val="TableCaption"/>
      </w:pPr>
      <w:r>
        <w:t xml:space="preserve">Cohort characteristics for all known ovarian site by subtype</w:t>
      </w:r>
    </w:p>
    <w:tbl>
      <w:tblPr>
        <w:tblStyle w:val="Table"/>
        <w:tblW w:type="pct" w:w="5000.0"/>
        <w:tblLook w:firstRow="1"/>
        <w:tblCaption w:val="Cohort characteristics for all known ovarian site by subtype"/>
      </w:tblPr>
      <w:tblGrid>
        <w:gridCol w:w="1029"/>
        <w:gridCol w:w="1252"/>
        <w:gridCol w:w="939"/>
        <w:gridCol w:w="939"/>
        <w:gridCol w:w="939"/>
        <w:gridCol w:w="939"/>
        <w:gridCol w:w="939"/>
        <w:gridCol w:w="93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Levels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PValue</w:t>
            </w:r>
          </w:p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p>
            <w:pPr>
              <w:pStyle w:val="Compact"/>
              <w:jc w:val="center"/>
            </w:pPr>
            <w:r>
              <w:t xml:space="preserve">384</w:t>
            </w:r>
          </w:p>
        </w:tc>
        <w:tc>
          <w:p>
            <w:pPr>
              <w:pStyle w:val="Compact"/>
              <w:jc w:val="center"/>
            </w:pPr>
            <w:r>
              <w:t xml:space="preserve">394</w:t>
            </w:r>
          </w:p>
        </w:tc>
        <w:tc>
          <w:p>
            <w:pPr>
              <w:pStyle w:val="Compact"/>
              <w:jc w:val="center"/>
            </w:pPr>
            <w:r>
              <w:t xml:space="preserve">473</w:t>
            </w:r>
          </w:p>
        </w:tc>
        <w:tc>
          <w:p>
            <w:pPr>
              <w:pStyle w:val="Compact"/>
              <w:jc w:val="center"/>
            </w:pPr>
            <w:r>
              <w:t xml:space="preserve">264</w:t>
            </w:r>
          </w:p>
        </w:tc>
        <w:tc>
          <w:p>
            <w:pPr>
              <w:pStyle w:val="Compact"/>
              <w:jc w:val="center"/>
            </w:pPr>
            <w:r>
              <w:t xml:space="preserve">1515</w:t>
            </w:r>
          </w:p>
        </w:tc>
        <w:tc>
          <w:p>
            <w:pPr>
              <w:pStyle w:val="Compact"/>
              <w:jc w:val="center"/>
            </w:pPr>
            <w:r>
              <w:t xml:space="preserve">OneWay_Test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Age at Diagnosis</w:t>
            </w:r>
          </w:p>
        </w:tc>
        <w:tc>
          <w:p>
            <w:pPr>
              <w:pStyle w:val="Compact"/>
              <w:jc w:val="center"/>
            </w:pPr>
            <w:r>
              <w:t xml:space="preserve">Mean (se)</w:t>
            </w:r>
          </w:p>
        </w:tc>
        <w:tc>
          <w:p>
            <w:pPr>
              <w:pStyle w:val="Compact"/>
              <w:jc w:val="center"/>
            </w:pPr>
            <w:r>
              <w:t xml:space="preserve">59.6( ± 0.5 )</w:t>
            </w:r>
          </w:p>
        </w:tc>
        <w:tc>
          <w:p>
            <w:pPr>
              <w:pStyle w:val="Compact"/>
              <w:jc w:val="center"/>
            </w:pPr>
            <w:r>
              <w:t xml:space="preserve">59.9( ± 0.5 )</w:t>
            </w:r>
          </w:p>
        </w:tc>
        <w:tc>
          <w:p>
            <w:pPr>
              <w:pStyle w:val="Compact"/>
              <w:jc w:val="center"/>
            </w:pPr>
            <w:r>
              <w:t xml:space="preserve">58.2( ± 0.5 )</w:t>
            </w:r>
          </w:p>
        </w:tc>
        <w:tc>
          <w:p>
            <w:pPr>
              <w:pStyle w:val="Compact"/>
              <w:jc w:val="center"/>
            </w:pPr>
            <w:r>
              <w:t xml:space="preserve">61.9( ± 0.6 )</w:t>
            </w:r>
          </w:p>
        </w:tc>
        <w:tc>
          <w:p>
            <w:pPr>
              <w:pStyle w:val="Compact"/>
              <w:jc w:val="center"/>
            </w:pPr>
            <w:r>
              <w:t xml:space="preserve">59.7( ± 0.3 )</w:t>
            </w:r>
          </w:p>
        </w:tc>
        <w:tc>
          <w:p>
            <w:pPr>
              <w:pStyle w:val="Compact"/>
              <w:jc w:val="center"/>
            </w:pPr>
            <w:r>
              <w:t xml:space="preserve">&lt; 0.001</w:t>
            </w:r>
          </w:p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Median (IQR)</w:t>
            </w:r>
          </w:p>
        </w:tc>
        <w:tc>
          <w:p>
            <w:pPr>
              <w:pStyle w:val="Compact"/>
              <w:jc w:val="center"/>
            </w:pPr>
            <w:r>
              <w:t xml:space="preserve">60( ± 11.5 )</w:t>
            </w:r>
          </w:p>
        </w:tc>
        <w:tc>
          <w:p>
            <w:pPr>
              <w:pStyle w:val="Compact"/>
              <w:jc w:val="center"/>
            </w:pPr>
            <w:r>
              <w:t xml:space="preserve">60( ± 15 )</w:t>
            </w:r>
          </w:p>
        </w:tc>
        <w:tc>
          <w:p>
            <w:pPr>
              <w:pStyle w:val="Compact"/>
              <w:jc w:val="center"/>
            </w:pPr>
            <w:r>
              <w:t xml:space="preserve">58( ± 14 )</w:t>
            </w:r>
          </w:p>
        </w:tc>
        <w:tc>
          <w:p>
            <w:pPr>
              <w:pStyle w:val="Compact"/>
              <w:jc w:val="center"/>
            </w:pPr>
            <w:r>
              <w:t xml:space="preserve">63( ± 12 )</w:t>
            </w:r>
          </w:p>
        </w:tc>
        <w:tc>
          <w:p>
            <w:pPr>
              <w:pStyle w:val="Compact"/>
              <w:jc w:val="center"/>
            </w:pPr>
            <w:r>
              <w:t xml:space="preserve">60( ± 13 )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Missing</w:t>
            </w:r>
          </w:p>
        </w:tc>
        <w:tc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p>
            <w:pPr>
              <w:pStyle w:val="Compact"/>
              <w:jc w:val="center"/>
            </w:pPr>
            <w:r>
              <w:t xml:space="preserve">19</w:t>
            </w:r>
          </w:p>
        </w:tc>
        <w:tc>
          <w:p>
            <w:pPr>
              <w:pStyle w:val="Compact"/>
              <w:jc w:val="center"/>
            </w:pPr>
            <w:r>
              <w:t xml:space="preserve">15</w:t>
            </w:r>
          </w:p>
        </w:tc>
        <w:tc>
          <w:p>
            <w:pPr>
              <w:pStyle w:val="Compact"/>
              <w:jc w:val="center"/>
            </w:pPr>
            <w:r>
              <w:t xml:space="preserve">59</w:t>
            </w:r>
          </w:p>
        </w:tc>
        <w:tc>
          <w:p/>
        </w:tc>
      </w:tr>
      <w:tr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PearsonChi_square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Stage</w:t>
            </w:r>
          </w:p>
        </w:tc>
        <w:tc>
          <w:p>
            <w:pPr>
              <w:pStyle w:val="Compact"/>
              <w:jc w:val="center"/>
            </w:pPr>
            <w:r>
              <w:t xml:space="preserve">low</w:t>
            </w:r>
          </w:p>
        </w:tc>
        <w:tc>
          <w:p>
            <w:pPr>
              <w:pStyle w:val="Compact"/>
              <w:jc w:val="center"/>
            </w:pPr>
            <w:r>
              <w:t xml:space="preserve">21(5.7%)</w:t>
            </w:r>
          </w:p>
        </w:tc>
        <w:tc>
          <w:p>
            <w:pPr>
              <w:pStyle w:val="Compact"/>
              <w:jc w:val="center"/>
            </w:pPr>
            <w:r>
              <w:t xml:space="preserve">75(20.3%)</w:t>
            </w:r>
          </w:p>
        </w:tc>
        <w:tc>
          <w:p>
            <w:pPr>
              <w:pStyle w:val="Compact"/>
              <w:jc w:val="center"/>
            </w:pPr>
            <w:r>
              <w:t xml:space="preserve">106(23.9%)</w:t>
            </w:r>
          </w:p>
        </w:tc>
        <w:tc>
          <w:p>
            <w:pPr>
              <w:pStyle w:val="Compact"/>
              <w:jc w:val="center"/>
            </w:pPr>
            <w:r>
              <w:t xml:space="preserve">45(18.3%)</w:t>
            </w:r>
          </w:p>
        </w:tc>
        <w:tc>
          <w:p>
            <w:pPr>
              <w:pStyle w:val="Compact"/>
              <w:jc w:val="center"/>
            </w:pPr>
            <w:r>
              <w:t xml:space="preserve">247(17.3%)</w:t>
            </w:r>
          </w:p>
        </w:tc>
        <w:tc>
          <w:p>
            <w:pPr>
              <w:pStyle w:val="Compact"/>
              <w:jc w:val="center"/>
            </w:pPr>
            <w:r>
              <w:t xml:space="preserve">&lt; 0.001</w:t>
            </w:r>
          </w:p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345(94.3%)</w:t>
            </w:r>
          </w:p>
        </w:tc>
        <w:tc>
          <w:p>
            <w:pPr>
              <w:pStyle w:val="Compact"/>
              <w:jc w:val="center"/>
            </w:pPr>
            <w:r>
              <w:t xml:space="preserve">295(79.7%)</w:t>
            </w:r>
          </w:p>
        </w:tc>
        <w:tc>
          <w:p>
            <w:pPr>
              <w:pStyle w:val="Compact"/>
              <w:jc w:val="center"/>
            </w:pPr>
            <w:r>
              <w:t xml:space="preserve">337(76.1%)</w:t>
            </w:r>
          </w:p>
        </w:tc>
        <w:tc>
          <w:p>
            <w:pPr>
              <w:pStyle w:val="Compact"/>
              <w:jc w:val="center"/>
            </w:pPr>
            <w:r>
              <w:t xml:space="preserve">201(81.7%)</w:t>
            </w:r>
          </w:p>
        </w:tc>
        <w:tc>
          <w:p>
            <w:pPr>
              <w:pStyle w:val="Compact"/>
              <w:jc w:val="center"/>
            </w:pPr>
            <w:r>
              <w:t xml:space="preserve">1178(82.7%)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Missing</w:t>
            </w:r>
          </w:p>
        </w:tc>
        <w:tc>
          <w:p>
            <w:pPr>
              <w:pStyle w:val="Compact"/>
              <w:jc w:val="center"/>
            </w:pPr>
            <w:r>
              <w:t xml:space="preserve">18</w:t>
            </w:r>
          </w:p>
        </w:tc>
        <w:tc>
          <w:p>
            <w:pPr>
              <w:pStyle w:val="Compact"/>
              <w:jc w:val="center"/>
            </w:pPr>
            <w:r>
              <w:t xml:space="preserve">24</w:t>
            </w:r>
          </w:p>
        </w:tc>
        <w:tc>
          <w:p>
            <w:pPr>
              <w:pStyle w:val="Compact"/>
              <w:jc w:val="center"/>
            </w:pPr>
            <w:r>
              <w:t xml:space="preserve">30</w:t>
            </w:r>
          </w:p>
        </w:tc>
        <w:tc>
          <w:p>
            <w:pPr>
              <w:pStyle w:val="Compact"/>
              <w:jc w:val="center"/>
            </w:pPr>
            <w:r>
              <w:t xml:space="preserve">18</w:t>
            </w:r>
          </w:p>
        </w:tc>
        <w:tc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Residual Disease</w:t>
            </w:r>
          </w:p>
        </w:tc>
        <w:tc>
          <w:p>
            <w:pPr>
              <w:pStyle w:val="Compact"/>
              <w:jc w:val="center"/>
            </w:pPr>
            <w:r>
              <w:t xml:space="preserve">no residual</w:t>
            </w:r>
          </w:p>
        </w:tc>
        <w:tc>
          <w:p>
            <w:pPr>
              <w:pStyle w:val="Compact"/>
              <w:jc w:val="center"/>
            </w:pPr>
            <w:r>
              <w:t xml:space="preserve">25(20.8%)</w:t>
            </w:r>
          </w:p>
        </w:tc>
        <w:tc>
          <w:p>
            <w:pPr>
              <w:pStyle w:val="Compact"/>
              <w:jc w:val="center"/>
            </w:pPr>
            <w:r>
              <w:t xml:space="preserve">71(41%)</w:t>
            </w:r>
          </w:p>
        </w:tc>
        <w:tc>
          <w:p>
            <w:pPr>
              <w:pStyle w:val="Compact"/>
              <w:jc w:val="center"/>
            </w:pPr>
            <w:r>
              <w:t xml:space="preserve">99(44.4%)</w:t>
            </w:r>
          </w:p>
        </w:tc>
        <w:tc>
          <w:p>
            <w:pPr>
              <w:pStyle w:val="Compact"/>
              <w:jc w:val="center"/>
            </w:pPr>
            <w:r>
              <w:t xml:space="preserve">52(41.3%)</w:t>
            </w:r>
          </w:p>
        </w:tc>
        <w:tc>
          <w:p>
            <w:pPr>
              <w:pStyle w:val="Compact"/>
              <w:jc w:val="center"/>
            </w:pPr>
            <w:r>
              <w:t xml:space="preserve">247(38.5%)</w:t>
            </w:r>
          </w:p>
        </w:tc>
        <w:tc>
          <w:p>
            <w:pPr>
              <w:pStyle w:val="Compact"/>
              <w:jc w:val="center"/>
            </w:pPr>
            <w:r>
              <w:t xml:space="preserve">&lt; 0.001</w:t>
            </w:r>
          </w:p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any residual</w:t>
            </w:r>
          </w:p>
        </w:tc>
        <w:tc>
          <w:p>
            <w:pPr>
              <w:pStyle w:val="Compact"/>
              <w:jc w:val="center"/>
            </w:pPr>
            <w:r>
              <w:t xml:space="preserve">95(79.2%)</w:t>
            </w:r>
          </w:p>
        </w:tc>
        <w:tc>
          <w:p>
            <w:pPr>
              <w:pStyle w:val="Compact"/>
              <w:jc w:val="center"/>
            </w:pPr>
            <w:r>
              <w:t xml:space="preserve">102(59%)</w:t>
            </w:r>
          </w:p>
        </w:tc>
        <w:tc>
          <w:p>
            <w:pPr>
              <w:pStyle w:val="Compact"/>
              <w:jc w:val="center"/>
            </w:pPr>
            <w:r>
              <w:t xml:space="preserve">124(55.6%)</w:t>
            </w:r>
          </w:p>
        </w:tc>
        <w:tc>
          <w:p>
            <w:pPr>
              <w:pStyle w:val="Compact"/>
              <w:jc w:val="center"/>
            </w:pPr>
            <w:r>
              <w:t xml:space="preserve">74(58.7%)</w:t>
            </w:r>
          </w:p>
        </w:tc>
        <w:tc>
          <w:p>
            <w:pPr>
              <w:pStyle w:val="Compact"/>
              <w:jc w:val="center"/>
            </w:pPr>
            <w:r>
              <w:t xml:space="preserve">395(61.5%)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Missing</w:t>
            </w:r>
          </w:p>
        </w:tc>
        <w:tc>
          <w:p>
            <w:pPr>
              <w:pStyle w:val="Compact"/>
              <w:jc w:val="center"/>
            </w:pPr>
            <w:r>
              <w:t xml:space="preserve">264</w:t>
            </w:r>
          </w:p>
        </w:tc>
        <w:tc>
          <w:p>
            <w:pPr>
              <w:pStyle w:val="Compact"/>
              <w:jc w:val="center"/>
            </w:pPr>
            <w:r>
              <w:t xml:space="preserve">221</w:t>
            </w:r>
          </w:p>
        </w:tc>
        <w:tc>
          <w:p>
            <w:pPr>
              <w:pStyle w:val="Compact"/>
              <w:jc w:val="center"/>
            </w:pPr>
            <w:r>
              <w:t xml:space="preserve">250</w:t>
            </w:r>
          </w:p>
        </w:tc>
        <w:tc>
          <w:p>
            <w:pPr>
              <w:pStyle w:val="Compact"/>
              <w:jc w:val="center"/>
            </w:pPr>
            <w:r>
              <w:t xml:space="preserve">138</w:t>
            </w:r>
          </w:p>
        </w:tc>
        <w:tc>
          <w:p>
            <w:pPr>
              <w:pStyle w:val="Compact"/>
              <w:jc w:val="center"/>
            </w:pPr>
            <w:r>
              <w:t xml:space="preserve">873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Necrosis</w:t>
            </w:r>
          </w:p>
        </w:tc>
        <w:tc>
          <w:p>
            <w:pPr>
              <w:pStyle w:val="Compact"/>
              <w:jc w:val="center"/>
            </w:pPr>
            <w:r>
              <w:t xml:space="preserve">none</w:t>
            </w:r>
          </w:p>
        </w:tc>
        <w:tc>
          <w:p>
            <w:pPr>
              <w:pStyle w:val="Compact"/>
              <w:jc w:val="center"/>
            </w:pPr>
            <w:r>
              <w:t xml:space="preserve">147(39.2%)</w:t>
            </w:r>
          </w:p>
        </w:tc>
        <w:tc>
          <w:p>
            <w:pPr>
              <w:pStyle w:val="Compact"/>
              <w:jc w:val="center"/>
            </w:pPr>
            <w:r>
              <w:t xml:space="preserve">98(25.8%)</w:t>
            </w:r>
          </w:p>
        </w:tc>
        <w:tc>
          <w:p>
            <w:pPr>
              <w:pStyle w:val="Compact"/>
              <w:jc w:val="center"/>
            </w:pPr>
            <w:r>
              <w:t xml:space="preserve">159(34.5%)</w:t>
            </w:r>
          </w:p>
        </w:tc>
        <w:tc>
          <w:p>
            <w:pPr>
              <w:pStyle w:val="Compact"/>
              <w:jc w:val="center"/>
            </w:pPr>
            <w:r>
              <w:t xml:space="preserve">76(30%)</w:t>
            </w:r>
          </w:p>
        </w:tc>
        <w:tc>
          <w:p>
            <w:pPr>
              <w:pStyle w:val="Compact"/>
              <w:jc w:val="center"/>
            </w:pPr>
            <w:r>
              <w:t xml:space="preserve">480(32.7%)</w:t>
            </w:r>
          </w:p>
        </w:tc>
        <w:tc>
          <w:p>
            <w:pPr>
              <w:pStyle w:val="Compact"/>
              <w:jc w:val="center"/>
            </w:pPr>
            <w:r>
              <w:t xml:space="preserve">&lt; 0.001</w:t>
            </w:r>
          </w:p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&lt;=20%</w:t>
            </w:r>
          </w:p>
        </w:tc>
        <w:tc>
          <w:p>
            <w:pPr>
              <w:pStyle w:val="Compact"/>
              <w:jc w:val="center"/>
            </w:pPr>
            <w:r>
              <w:t xml:space="preserve">208(55.5%)</w:t>
            </w:r>
          </w:p>
        </w:tc>
        <w:tc>
          <w:p>
            <w:pPr>
              <w:pStyle w:val="Compact"/>
              <w:jc w:val="center"/>
            </w:pPr>
            <w:r>
              <w:t xml:space="preserve">236(62.1%)</w:t>
            </w:r>
          </w:p>
        </w:tc>
        <w:tc>
          <w:p>
            <w:pPr>
              <w:pStyle w:val="Compact"/>
              <w:jc w:val="center"/>
            </w:pPr>
            <w:r>
              <w:t xml:space="preserve">270(58.6%)</w:t>
            </w:r>
          </w:p>
        </w:tc>
        <w:tc>
          <w:p>
            <w:pPr>
              <w:pStyle w:val="Compact"/>
              <w:jc w:val="center"/>
            </w:pPr>
            <w:r>
              <w:t xml:space="preserve">159(62.8%)</w:t>
            </w:r>
          </w:p>
        </w:tc>
        <w:tc>
          <w:p>
            <w:pPr>
              <w:pStyle w:val="Compact"/>
              <w:jc w:val="center"/>
            </w:pPr>
            <w:r>
              <w:t xml:space="preserve">873(59.4%)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&gt;20%</w:t>
            </w:r>
          </w:p>
        </w:tc>
        <w:tc>
          <w:p>
            <w:pPr>
              <w:pStyle w:val="Compact"/>
              <w:jc w:val="center"/>
            </w:pPr>
            <w:r>
              <w:t xml:space="preserve">20(5.3%)</w:t>
            </w:r>
          </w:p>
        </w:tc>
        <w:tc>
          <w:p>
            <w:pPr>
              <w:pStyle w:val="Compact"/>
              <w:jc w:val="center"/>
            </w:pPr>
            <w:r>
              <w:t xml:space="preserve">46(12.1%)</w:t>
            </w:r>
          </w:p>
        </w:tc>
        <w:tc>
          <w:p>
            <w:pPr>
              <w:pStyle w:val="Compact"/>
              <w:jc w:val="center"/>
            </w:pPr>
            <w:r>
              <w:t xml:space="preserve">32(6.9%)</w:t>
            </w:r>
          </w:p>
        </w:tc>
        <w:tc>
          <w:p>
            <w:pPr>
              <w:pStyle w:val="Compact"/>
              <w:jc w:val="center"/>
            </w:pPr>
            <w:r>
              <w:t xml:space="preserve">18(7.1%)</w:t>
            </w:r>
          </w:p>
        </w:tc>
        <w:tc>
          <w:p>
            <w:pPr>
              <w:pStyle w:val="Compact"/>
              <w:jc w:val="center"/>
            </w:pPr>
            <w:r>
              <w:t xml:space="preserve">116(7.9%)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Missing</w:t>
            </w:r>
          </w:p>
        </w:tc>
        <w:tc>
          <w:p>
            <w:pPr>
              <w:pStyle w:val="Compact"/>
              <w:jc w:val="center"/>
            </w:pPr>
            <w:r>
              <w:t xml:space="preserve">9</w:t>
            </w:r>
          </w:p>
        </w:tc>
        <w:tc>
          <w:p>
            <w:pPr>
              <w:pStyle w:val="Compact"/>
              <w:jc w:val="center"/>
            </w:pPr>
            <w:r>
              <w:t xml:space="preserve">14</w:t>
            </w:r>
          </w:p>
        </w:tc>
        <w:tc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p>
            <w:pPr>
              <w:pStyle w:val="Compact"/>
              <w:jc w:val="center"/>
            </w:pPr>
            <w:r>
              <w:t xml:space="preserve">11</w:t>
            </w:r>
          </w:p>
        </w:tc>
        <w:tc>
          <w:p>
            <w:pPr>
              <w:pStyle w:val="Compact"/>
              <w:jc w:val="center"/>
            </w:pPr>
            <w:r>
              <w:t xml:space="preserve">46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BRCA 1/2</w:t>
            </w:r>
          </w:p>
        </w:tc>
        <w:tc>
          <w:p>
            <w:pPr>
              <w:pStyle w:val="Compact"/>
              <w:jc w:val="center"/>
            </w:pPr>
            <w:r>
              <w:t xml:space="preserve">all wildtypes</w:t>
            </w:r>
          </w:p>
        </w:tc>
        <w:tc>
          <w:p>
            <w:pPr>
              <w:pStyle w:val="Compact"/>
              <w:jc w:val="center"/>
            </w:pPr>
            <w:r>
              <w:t xml:space="preserve">43(67.2%)</w:t>
            </w:r>
          </w:p>
        </w:tc>
        <w:tc>
          <w:p>
            <w:pPr>
              <w:pStyle w:val="Compact"/>
              <w:jc w:val="center"/>
            </w:pPr>
            <w:r>
              <w:t xml:space="preserve">54(76.1%)</w:t>
            </w:r>
          </w:p>
        </w:tc>
        <w:tc>
          <w:p>
            <w:pPr>
              <w:pStyle w:val="Compact"/>
              <w:jc w:val="center"/>
            </w:pPr>
            <w:r>
              <w:t xml:space="preserve">63(72.4%)</w:t>
            </w:r>
          </w:p>
        </w:tc>
        <w:tc>
          <w:p>
            <w:pPr>
              <w:pStyle w:val="Compact"/>
              <w:jc w:val="center"/>
            </w:pPr>
            <w:r>
              <w:t xml:space="preserve">33(82.5%)</w:t>
            </w:r>
          </w:p>
        </w:tc>
        <w:tc>
          <w:p>
            <w:pPr>
              <w:pStyle w:val="Compact"/>
              <w:jc w:val="center"/>
            </w:pPr>
            <w:r>
              <w:t xml:space="preserve">193(73.7%)</w:t>
            </w:r>
          </w:p>
        </w:tc>
        <w:tc>
          <w:p>
            <w:pPr>
              <w:pStyle w:val="Compact"/>
              <w:jc w:val="center"/>
            </w:pPr>
            <w:r>
              <w:t xml:space="preserve">0.80</w:t>
            </w:r>
          </w:p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pathogenic BRCA1 mutation</w:t>
            </w:r>
          </w:p>
        </w:tc>
        <w:tc>
          <w:p>
            <w:pPr>
              <w:pStyle w:val="Compact"/>
              <w:jc w:val="center"/>
            </w:pPr>
            <w:r>
              <w:t xml:space="preserve">14(21.9%)</w:t>
            </w:r>
          </w:p>
        </w:tc>
        <w:tc>
          <w:p>
            <w:pPr>
              <w:pStyle w:val="Compact"/>
              <w:jc w:val="center"/>
            </w:pPr>
            <w:r>
              <w:t xml:space="preserve">12(16.9%)</w:t>
            </w:r>
          </w:p>
        </w:tc>
        <w:tc>
          <w:p>
            <w:pPr>
              <w:pStyle w:val="Compact"/>
              <w:jc w:val="center"/>
            </w:pPr>
            <w:r>
              <w:t xml:space="preserve">15(17.2%)</w:t>
            </w:r>
          </w:p>
        </w:tc>
        <w:tc>
          <w:p>
            <w:pPr>
              <w:pStyle w:val="Compact"/>
              <w:jc w:val="center"/>
            </w:pPr>
            <w:r>
              <w:t xml:space="preserve">5(12.5%)</w:t>
            </w:r>
          </w:p>
        </w:tc>
        <w:tc>
          <w:p>
            <w:pPr>
              <w:pStyle w:val="Compact"/>
              <w:jc w:val="center"/>
            </w:pPr>
            <w:r>
              <w:t xml:space="preserve">46(17.6%)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pathogenic BRCA2 mutation</w:t>
            </w:r>
          </w:p>
        </w:tc>
        <w:tc>
          <w:p>
            <w:pPr>
              <w:pStyle w:val="Compact"/>
              <w:jc w:val="center"/>
            </w:pPr>
            <w:r>
              <w:t xml:space="preserve">7(10.9%)</w:t>
            </w:r>
          </w:p>
        </w:tc>
        <w:tc>
          <w:p>
            <w:pPr>
              <w:pStyle w:val="Compact"/>
              <w:jc w:val="center"/>
            </w:pPr>
            <w:r>
              <w:t xml:space="preserve">5(7%)</w:t>
            </w:r>
          </w:p>
        </w:tc>
        <w:tc>
          <w:p>
            <w:pPr>
              <w:pStyle w:val="Compact"/>
              <w:jc w:val="center"/>
            </w:pPr>
            <w:r>
              <w:t xml:space="preserve">8(9.2%)</w:t>
            </w:r>
          </w:p>
        </w:tc>
        <w:tc>
          <w:p>
            <w:pPr>
              <w:pStyle w:val="Compact"/>
              <w:jc w:val="center"/>
            </w:pPr>
            <w:r>
              <w:t xml:space="preserve">2(5%)</w:t>
            </w:r>
          </w:p>
        </w:tc>
        <w:tc>
          <w:p>
            <w:pPr>
              <w:pStyle w:val="Compact"/>
              <w:jc w:val="center"/>
            </w:pPr>
            <w:r>
              <w:t xml:space="preserve">22(8.4%)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pathogenic NOS</w:t>
            </w:r>
          </w:p>
        </w:tc>
        <w:tc>
          <w:p>
            <w:pPr>
              <w:pStyle w:val="Compact"/>
              <w:jc w:val="center"/>
            </w:pPr>
            <w:r>
              <w:t xml:space="preserve">0(0%)</w:t>
            </w:r>
          </w:p>
        </w:tc>
        <w:tc>
          <w:p>
            <w:pPr>
              <w:pStyle w:val="Compact"/>
              <w:jc w:val="center"/>
            </w:pPr>
            <w:r>
              <w:t xml:space="preserve">0(0%)</w:t>
            </w:r>
          </w:p>
        </w:tc>
        <w:tc>
          <w:p>
            <w:pPr>
              <w:pStyle w:val="Compact"/>
              <w:jc w:val="center"/>
            </w:pPr>
            <w:r>
              <w:t xml:space="preserve">1(1.1%)</w:t>
            </w:r>
          </w:p>
        </w:tc>
        <w:tc>
          <w:p>
            <w:pPr>
              <w:pStyle w:val="Compact"/>
              <w:jc w:val="center"/>
            </w:pPr>
            <w:r>
              <w:t xml:space="preserve">0(0%)</w:t>
            </w:r>
          </w:p>
        </w:tc>
        <w:tc>
          <w:p>
            <w:pPr>
              <w:pStyle w:val="Compact"/>
              <w:jc w:val="center"/>
            </w:pPr>
            <w:r>
              <w:t xml:space="preserve">1(0.4%)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Missing</w:t>
            </w:r>
          </w:p>
        </w:tc>
        <w:tc>
          <w:p>
            <w:pPr>
              <w:pStyle w:val="Compact"/>
              <w:jc w:val="center"/>
            </w:pPr>
            <w:r>
              <w:t xml:space="preserve">320</w:t>
            </w:r>
          </w:p>
        </w:tc>
        <w:tc>
          <w:p>
            <w:pPr>
              <w:pStyle w:val="Compact"/>
              <w:jc w:val="center"/>
            </w:pPr>
            <w:r>
              <w:t xml:space="preserve">323</w:t>
            </w:r>
          </w:p>
        </w:tc>
        <w:tc>
          <w:p>
            <w:pPr>
              <w:pStyle w:val="Compact"/>
              <w:jc w:val="center"/>
            </w:pPr>
            <w:r>
              <w:t xml:space="preserve">386</w:t>
            </w:r>
          </w:p>
        </w:tc>
        <w:tc>
          <w:p>
            <w:pPr>
              <w:pStyle w:val="Compact"/>
              <w:jc w:val="center"/>
            </w:pPr>
            <w:r>
              <w:t xml:space="preserve">224</w:t>
            </w:r>
          </w:p>
        </w:tc>
        <w:tc>
          <w:p>
            <w:pPr>
              <w:pStyle w:val="Compact"/>
              <w:jc w:val="center"/>
            </w:pPr>
            <w:r>
              <w:t xml:space="preserve">1253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Race</w:t>
            </w:r>
          </w:p>
        </w:tc>
        <w:tc>
          <w:p>
            <w:pPr>
              <w:pStyle w:val="Compact"/>
              <w:jc w:val="center"/>
            </w:pPr>
            <w:r>
              <w:t xml:space="preserve">white</w:t>
            </w:r>
          </w:p>
        </w:tc>
        <w:tc>
          <w:p>
            <w:pPr>
              <w:pStyle w:val="Compact"/>
              <w:jc w:val="center"/>
            </w:pPr>
            <w:r>
              <w:t xml:space="preserve">222(81.9%)</w:t>
            </w:r>
          </w:p>
        </w:tc>
        <w:tc>
          <w:p>
            <w:pPr>
              <w:pStyle w:val="Compact"/>
              <w:jc w:val="center"/>
            </w:pPr>
            <w:r>
              <w:t xml:space="preserve">198(78.3%)</w:t>
            </w:r>
          </w:p>
        </w:tc>
        <w:tc>
          <w:p>
            <w:pPr>
              <w:pStyle w:val="Compact"/>
              <w:jc w:val="center"/>
            </w:pPr>
            <w:r>
              <w:t xml:space="preserve">245(81.1%)</w:t>
            </w:r>
          </w:p>
        </w:tc>
        <w:tc>
          <w:p>
            <w:pPr>
              <w:pStyle w:val="Compact"/>
              <w:jc w:val="center"/>
            </w:pPr>
            <w:r>
              <w:t xml:space="preserve">119(79.9%)</w:t>
            </w:r>
          </w:p>
        </w:tc>
        <w:tc>
          <w:p>
            <w:pPr>
              <w:pStyle w:val="Compact"/>
              <w:jc w:val="center"/>
            </w:pPr>
            <w:r>
              <w:t xml:space="preserve">784(80.4%)</w:t>
            </w:r>
          </w:p>
        </w:tc>
        <w:tc>
          <w:p>
            <w:pPr>
              <w:pStyle w:val="Compact"/>
              <w:jc w:val="center"/>
            </w:pPr>
            <w:r>
              <w:t xml:space="preserve">0.82</w:t>
            </w:r>
          </w:p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hispanic</w:t>
            </w:r>
          </w:p>
        </w:tc>
        <w:tc>
          <w:p>
            <w:pPr>
              <w:pStyle w:val="Compact"/>
              <w:jc w:val="center"/>
            </w:pPr>
            <w:r>
              <w:t xml:space="preserve">48(17.7%)</w:t>
            </w:r>
          </w:p>
        </w:tc>
        <w:tc>
          <w:p>
            <w:pPr>
              <w:pStyle w:val="Compact"/>
              <w:jc w:val="center"/>
            </w:pPr>
            <w:r>
              <w:t xml:space="preserve">54(21.3%)</w:t>
            </w:r>
          </w:p>
        </w:tc>
        <w:tc>
          <w:p>
            <w:pPr>
              <w:pStyle w:val="Compact"/>
              <w:jc w:val="center"/>
            </w:pPr>
            <w:r>
              <w:t xml:space="preserve">57(18.9%)</w:t>
            </w:r>
          </w:p>
        </w:tc>
        <w:tc>
          <w:p>
            <w:pPr>
              <w:pStyle w:val="Compact"/>
              <w:jc w:val="center"/>
            </w:pPr>
            <w:r>
              <w:t xml:space="preserve">30(20.1%)</w:t>
            </w:r>
          </w:p>
        </w:tc>
        <w:tc>
          <w:p>
            <w:pPr>
              <w:pStyle w:val="Compact"/>
              <w:jc w:val="center"/>
            </w:pPr>
            <w:r>
              <w:t xml:space="preserve">189(19.4%)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other</w:t>
            </w:r>
          </w:p>
        </w:tc>
        <w:tc>
          <w:p>
            <w:pPr>
              <w:pStyle w:val="Compact"/>
              <w:jc w:val="center"/>
            </w:pPr>
            <w:r>
              <w:t xml:space="preserve">1(0.4%)</w:t>
            </w:r>
          </w:p>
        </w:tc>
        <w:tc>
          <w:p>
            <w:pPr>
              <w:pStyle w:val="Compact"/>
              <w:jc w:val="center"/>
            </w:pPr>
            <w:r>
              <w:t xml:space="preserve">1(0.4%)</w:t>
            </w:r>
          </w:p>
        </w:tc>
        <w:tc>
          <w:p>
            <w:pPr>
              <w:pStyle w:val="Compact"/>
              <w:jc w:val="center"/>
            </w:pPr>
            <w:r>
              <w:t xml:space="preserve">0(0%)</w:t>
            </w:r>
          </w:p>
        </w:tc>
        <w:tc>
          <w:p>
            <w:pPr>
              <w:pStyle w:val="Compact"/>
              <w:jc w:val="center"/>
            </w:pPr>
            <w:r>
              <w:t xml:space="preserve">0(0%)</w:t>
            </w:r>
          </w:p>
        </w:tc>
        <w:tc>
          <w:p>
            <w:pPr>
              <w:pStyle w:val="Compact"/>
              <w:jc w:val="center"/>
            </w:pPr>
            <w:r>
              <w:t xml:space="preserve">2(0.2%)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center"/>
            </w:pPr>
            <w:r>
              <w:t xml:space="preserve">Missing</w:t>
            </w:r>
          </w:p>
        </w:tc>
        <w:tc>
          <w:p>
            <w:pPr>
              <w:pStyle w:val="Compact"/>
              <w:jc w:val="center"/>
            </w:pPr>
            <w:r>
              <w:t xml:space="preserve">113</w:t>
            </w:r>
          </w:p>
        </w:tc>
        <w:tc>
          <w:p>
            <w:pPr>
              <w:pStyle w:val="Compact"/>
              <w:jc w:val="center"/>
            </w:pPr>
            <w:r>
              <w:t xml:space="preserve">141</w:t>
            </w:r>
          </w:p>
        </w:tc>
        <w:tc>
          <w:p>
            <w:pPr>
              <w:pStyle w:val="Compact"/>
              <w:jc w:val="center"/>
            </w:pPr>
            <w:r>
              <w:t xml:space="preserve">171</w:t>
            </w:r>
          </w:p>
        </w:tc>
        <w:tc>
          <w:p>
            <w:pPr>
              <w:pStyle w:val="Compact"/>
              <w:jc w:val="center"/>
            </w:pPr>
            <w:r>
              <w:t xml:space="preserve">115</w:t>
            </w:r>
          </w:p>
        </w:tc>
        <w:tc>
          <w:p>
            <w:pPr>
              <w:pStyle w:val="Compact"/>
              <w:jc w:val="center"/>
            </w:pPr>
            <w:r>
              <w:t xml:space="preserve">540</w:t>
            </w:r>
          </w:p>
        </w:tc>
        <w:tc>
          <w:p/>
        </w:tc>
      </w:tr>
    </w:tbl>
    <w:p>
      <w:pPr>
        <w:pStyle w:val="Heading3"/>
      </w:pPr>
      <w:bookmarkStart w:id="57" w:name="X7209bebeec47dadf386a68543b47d86c9909f29"/>
      <w:r>
        <w:rPr>
          <w:i/>
        </w:rPr>
        <w:t xml:space="preserve">Table SC9:</w:t>
      </w:r>
      <w:r>
        <w:t xml:space="preserve"> </w:t>
      </w:r>
      <w:r>
        <w:t xml:space="preserve">Median Follow-up Time in Years and Events by Final Subtype</w:t>
      </w:r>
      <w:bookmarkEnd w:id="57"/>
    </w:p>
    <w:p>
      <w:pPr>
        <w:pStyle w:val="TableCaption"/>
      </w:pPr>
      <w:r>
        <w:t xml:space="preserve">OS Median Follow-up Time in Years by Final Predictions</w:t>
      </w:r>
    </w:p>
    <w:tbl>
      <w:tblPr>
        <w:tblStyle w:val="Table"/>
        <w:tblW w:type="pct" w:w="5000.0"/>
        <w:tblLook w:firstRow="1"/>
        <w:tblCaption w:val="OS Median Follow-up Time in Years by Final Predictions"/>
      </w:tblPr>
      <w:tblGrid>
        <w:gridCol w:w="1540"/>
        <w:gridCol w:w="2090"/>
        <w:gridCol w:w="1870"/>
        <w:gridCol w:w="1430"/>
        <w:gridCol w:w="9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Observation Time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Censoring Time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Reverse KM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Events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Full Cohort</w:t>
            </w:r>
          </w:p>
        </w:tc>
        <w:tc>
          <w:p>
            <w:pPr>
              <w:pStyle w:val="Compact"/>
              <w:jc w:val="center"/>
            </w:pPr>
            <w:r>
              <w:t xml:space="preserve">3.3</w:t>
            </w:r>
          </w:p>
        </w:tc>
        <w:tc>
          <w:p>
            <w:pPr>
              <w:pStyle w:val="Compact"/>
              <w:jc w:val="center"/>
            </w:pPr>
            <w:r>
              <w:t xml:space="preserve">2.9</w:t>
            </w:r>
          </w:p>
        </w:tc>
        <w:tc>
          <w:p>
            <w:pPr>
              <w:pStyle w:val="Compact"/>
              <w:jc w:val="center"/>
            </w:pPr>
            <w:r>
              <w:t xml:space="preserve">8.8</w:t>
            </w:r>
          </w:p>
        </w:tc>
        <w:tc>
          <w:p>
            <w:pPr>
              <w:pStyle w:val="Compact"/>
              <w:jc w:val="center"/>
            </w:pPr>
            <w:r>
              <w:t xml:space="preserve">2533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2.6</w:t>
            </w:r>
          </w:p>
        </w:tc>
        <w:tc>
          <w:p>
            <w:pPr>
              <w:pStyle w:val="Compact"/>
              <w:jc w:val="center"/>
            </w:pPr>
            <w:r>
              <w:t xml:space="preserve">2.4</w:t>
            </w:r>
          </w:p>
        </w:tc>
        <w:tc>
          <w:p>
            <w:pPr>
              <w:pStyle w:val="Compact"/>
              <w:jc w:val="center"/>
            </w:pPr>
            <w:r>
              <w:t xml:space="preserve">8.4</w:t>
            </w:r>
          </w:p>
        </w:tc>
        <w:tc>
          <w:p>
            <w:pPr>
              <w:pStyle w:val="Compact"/>
              <w:jc w:val="center"/>
            </w:pPr>
            <w:r>
              <w:t xml:space="preserve">827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3.9</w:t>
            </w:r>
          </w:p>
        </w:tc>
        <w:tc>
          <w:p>
            <w:pPr>
              <w:pStyle w:val="Compact"/>
              <w:jc w:val="center"/>
            </w:pPr>
            <w:r>
              <w:t xml:space="preserve">3.2</w:t>
            </w:r>
          </w:p>
        </w:tc>
        <w:tc>
          <w:p>
            <w:pPr>
              <w:pStyle w:val="Compact"/>
              <w:jc w:val="center"/>
            </w:pPr>
            <w:r>
              <w:t xml:space="preserve">8.7</w:t>
            </w:r>
          </w:p>
        </w:tc>
        <w:tc>
          <w:p>
            <w:pPr>
              <w:pStyle w:val="Compact"/>
              <w:jc w:val="center"/>
            </w:pPr>
            <w:r>
              <w:t xml:space="preserve">563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4.1</w:t>
            </w:r>
          </w:p>
        </w:tc>
        <w:tc>
          <w:p>
            <w:pPr>
              <w:pStyle w:val="Compact"/>
              <w:jc w:val="center"/>
            </w:pPr>
            <w:r>
              <w:t xml:space="preserve">3.4</w:t>
            </w:r>
          </w:p>
        </w:tc>
        <w:tc>
          <w:p>
            <w:pPr>
              <w:pStyle w:val="Compact"/>
              <w:jc w:val="center"/>
            </w:pPr>
            <w:r>
              <w:t xml:space="preserve">9.3</w:t>
            </w:r>
          </w:p>
        </w:tc>
        <w:tc>
          <w:p>
            <w:pPr>
              <w:pStyle w:val="Compact"/>
              <w:jc w:val="center"/>
            </w:pPr>
            <w:r>
              <w:t xml:space="preserve">697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3.1</w:t>
            </w:r>
          </w:p>
        </w:tc>
        <w:tc>
          <w:p>
            <w:pPr>
              <w:pStyle w:val="Compact"/>
              <w:jc w:val="center"/>
            </w:pPr>
            <w:r>
              <w:t xml:space="preserve">2.8</w:t>
            </w:r>
          </w:p>
        </w:tc>
        <w:tc>
          <w:p>
            <w:pPr>
              <w:pStyle w:val="Compact"/>
              <w:jc w:val="center"/>
            </w:pPr>
            <w:r>
              <w:t xml:space="preserve">8.5</w:t>
            </w:r>
          </w:p>
        </w:tc>
        <w:tc>
          <w:p>
            <w:pPr>
              <w:pStyle w:val="Compact"/>
              <w:jc w:val="center"/>
            </w:pPr>
            <w:r>
              <w:t xml:space="preserve">446</w:t>
            </w:r>
          </w:p>
        </w:tc>
      </w:tr>
    </w:tbl>
    <w:p>
      <w:pPr>
        <w:pStyle w:val="BodyText"/>
      </w:pPr>
      <w:r>
        <w:t xml:space="preserve"> </w:t>
      </w:r>
    </w:p>
    <w:p>
      <w:pPr>
        <w:pStyle w:val="TableCaption"/>
      </w:pPr>
      <w:r>
        <w:t xml:space="preserve">PFS Median Follow-up Time in Years by Final Predictions</w:t>
      </w:r>
    </w:p>
    <w:tbl>
      <w:tblPr>
        <w:tblStyle w:val="Table"/>
        <w:tblW w:type="pct" w:w="5000.0"/>
        <w:tblLook w:firstRow="1"/>
        <w:tblCaption w:val="PFS Median Follow-up Time in Years by Final Predictions"/>
      </w:tblPr>
      <w:tblGrid>
        <w:gridCol w:w="1540"/>
        <w:gridCol w:w="2090"/>
        <w:gridCol w:w="1870"/>
        <w:gridCol w:w="1430"/>
        <w:gridCol w:w="9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Observation Time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Censoring Time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Reverse KM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Events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Full Cohort</w:t>
            </w:r>
          </w:p>
        </w:tc>
        <w:tc>
          <w:p>
            <w:pPr>
              <w:pStyle w:val="Compact"/>
              <w:jc w:val="center"/>
            </w:pPr>
            <w:r>
              <w:t xml:space="preserve">1.3</w:t>
            </w:r>
          </w:p>
        </w:tc>
        <w:tc>
          <w:p>
            <w:pPr>
              <w:pStyle w:val="Compact"/>
              <w:jc w:val="center"/>
            </w:pPr>
            <w:r>
              <w:t xml:space="preserve">1.1</w:t>
            </w:r>
          </w:p>
        </w:tc>
        <w:tc>
          <w:p>
            <w:pPr>
              <w:pStyle w:val="Compact"/>
              <w:jc w:val="center"/>
            </w:pPr>
            <w:r>
              <w:t xml:space="preserve">6.7</w:t>
            </w:r>
          </w:p>
        </w:tc>
        <w:tc>
          <w:p>
            <w:pPr>
              <w:pStyle w:val="Compact"/>
              <w:jc w:val="center"/>
            </w:pPr>
            <w:r>
              <w:t xml:space="preserve">1710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C1.MES</w:t>
            </w:r>
          </w:p>
        </w:tc>
        <w:tc>
          <w:p>
            <w:pPr>
              <w:pStyle w:val="Compact"/>
              <w:jc w:val="center"/>
            </w:pPr>
            <w:r>
              <w:t xml:space="preserve">1.1</w:t>
            </w:r>
          </w:p>
        </w:tc>
        <w:tc>
          <w:p>
            <w:pPr>
              <w:pStyle w:val="Compact"/>
              <w:jc w:val="center"/>
            </w:pPr>
            <w:r>
              <w:t xml:space="preserve">1.0</w:t>
            </w:r>
          </w:p>
        </w:tc>
        <w:tc>
          <w:p>
            <w:pPr>
              <w:pStyle w:val="Compact"/>
              <w:jc w:val="center"/>
            </w:pPr>
            <w:r>
              <w:t xml:space="preserve">5.6</w:t>
            </w:r>
          </w:p>
        </w:tc>
        <w:tc>
          <w:p>
            <w:pPr>
              <w:pStyle w:val="Compact"/>
              <w:jc w:val="center"/>
            </w:pPr>
            <w:r>
              <w:t xml:space="preserve">611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1.4</w:t>
            </w:r>
          </w:p>
        </w:tc>
        <w:tc>
          <w:p>
            <w:pPr>
              <w:pStyle w:val="Compact"/>
              <w:jc w:val="center"/>
            </w:pPr>
            <w:r>
              <w:t xml:space="preserve">1.2</w:t>
            </w:r>
          </w:p>
        </w:tc>
        <w:tc>
          <w:p>
            <w:pPr>
              <w:pStyle w:val="Compact"/>
              <w:jc w:val="center"/>
            </w:pPr>
            <w:r>
              <w:t xml:space="preserve">8.0</w:t>
            </w:r>
          </w:p>
        </w:tc>
        <w:tc>
          <w:p>
            <w:pPr>
              <w:pStyle w:val="Compact"/>
              <w:jc w:val="center"/>
            </w:pPr>
            <w:r>
              <w:t xml:space="preserve">391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1.4</w:t>
            </w:r>
          </w:p>
        </w:tc>
        <w:tc>
          <w:p>
            <w:pPr>
              <w:pStyle w:val="Compact"/>
              <w:jc w:val="center"/>
            </w:pPr>
            <w:r>
              <w:t xml:space="preserve">1.3</w:t>
            </w:r>
          </w:p>
        </w:tc>
        <w:tc>
          <w:p>
            <w:pPr>
              <w:pStyle w:val="Compact"/>
              <w:jc w:val="center"/>
            </w:pPr>
            <w:r>
              <w:t xml:space="preserve">6.9</w:t>
            </w:r>
          </w:p>
        </w:tc>
        <w:tc>
          <w:p>
            <w:pPr>
              <w:pStyle w:val="Compact"/>
              <w:jc w:val="center"/>
            </w:pPr>
            <w:r>
              <w:t xml:space="preserve">436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1.3</w:t>
            </w:r>
          </w:p>
        </w:tc>
        <w:tc>
          <w:p>
            <w:pPr>
              <w:pStyle w:val="Compact"/>
              <w:jc w:val="center"/>
            </w:pPr>
            <w:r>
              <w:t xml:space="preserve">1.2</w:t>
            </w:r>
          </w:p>
        </w:tc>
        <w:tc>
          <w:p>
            <w:pPr>
              <w:pStyle w:val="Compact"/>
              <w:jc w:val="center"/>
            </w:pPr>
            <w:r>
              <w:t xml:space="preserve">5.1</w:t>
            </w:r>
          </w:p>
        </w:tc>
        <w:tc>
          <w:p>
            <w:pPr>
              <w:pStyle w:val="Compact"/>
              <w:jc w:val="center"/>
            </w:pPr>
            <w:r>
              <w:t xml:space="preserve">272</w:t>
            </w:r>
          </w:p>
        </w:tc>
      </w:tr>
    </w:tbl>
    <w:p>
      <w:pPr>
        <w:pStyle w:val="Heading2"/>
      </w:pPr>
      <w:bookmarkStart w:id="58" w:name="c.3.3-survival-analysis"/>
      <w:r>
        <w:t xml:space="preserve">C.3.3 Survival Analysis</w:t>
      </w:r>
      <w:bookmarkEnd w:id="58"/>
    </w:p>
    <w:p>
      <w:pPr>
        <w:pStyle w:val="FirstParagraph"/>
      </w:pPr>
      <w:r>
        <w:drawing>
          <wp:inline>
            <wp:extent cx="5943600" cy="84908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C_files/figure-docx/km_final_al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84908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C_files/figure-docx/km_final_adnexa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1" w:name="X3e94ac26174a68af1cfc6123cb21037e1719770"/>
      <w:r>
        <w:rPr>
          <w:i/>
        </w:rPr>
        <w:t xml:space="preserve">Table SC10:</w:t>
      </w:r>
      <w:r>
        <w:t xml:space="preserve"> </w:t>
      </w:r>
      <w:r>
        <w:t xml:space="preserve">Multivariable survival analysis of overall and progression-free survival, adjusting for final subtype, residual disease, BRCA mutation, age, stage, and CD8</w:t>
      </w:r>
      <w:bookmarkEnd w:id="61"/>
    </w:p>
    <w:p>
      <w:pPr>
        <w:pStyle w:val="TableCaption"/>
      </w:pPr>
      <w:r>
        <w:t xml:space="preserve">Multivariable Analyses: all covariates</w:t>
      </w:r>
    </w:p>
    <w:tbl>
      <w:tblPr>
        <w:tblStyle w:val="Table"/>
        <w:tblW w:type="pct" w:w="5000.0"/>
        <w:tblLook w:firstRow="1"/>
        <w:tblCaption w:val="Multivariable Analyses: all covariates"/>
      </w:tblPr>
      <w:tblGrid>
        <w:gridCol w:w="2134"/>
        <w:gridCol w:w="1239"/>
        <w:gridCol w:w="1928"/>
        <w:gridCol w:w="1652"/>
        <w:gridCol w:w="96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# of events / 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Hazard Ratio (95% CI)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LRT P-value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OS</w:t>
            </w:r>
          </w:p>
        </w:tc>
        <w:tc>
          <w:p>
            <w:pPr>
              <w:pStyle w:val="Compact"/>
              <w:jc w:val="center"/>
            </w:pPr>
            <w:r>
              <w:t xml:space="preserve">159 / 229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Final Subtype (reference</w:t>
            </w:r>
            <w:r>
              <w:t xml:space="preserve"> </w:t>
            </w:r>
            <w:r>
              <w:t xml:space="preserve">group: C1.MES)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1.05 (0.66-1.65)</w:t>
            </w:r>
          </w:p>
        </w:tc>
        <w:tc>
          <w:p>
            <w:pPr>
              <w:pStyle w:val="Compact"/>
              <w:jc w:val="center"/>
            </w:pPr>
            <w:r>
              <w:t xml:space="preserve">0.9595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0.92 (0.59-1.44)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0.95 (0.56-1.6)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Residual Disease (reference</w:t>
            </w:r>
            <w:r>
              <w:t xml:space="preserve"> </w:t>
            </w:r>
            <w:r>
              <w:t xml:space="preserve">group: no residual)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any residual</w:t>
            </w:r>
          </w:p>
        </w:tc>
        <w:tc>
          <w:p>
            <w:pPr>
              <w:pStyle w:val="Compact"/>
              <w:jc w:val="center"/>
            </w:pPr>
            <w:r>
              <w:t xml:space="preserve">2.23 (1.51-3.28)</w:t>
            </w:r>
          </w:p>
        </w:tc>
        <w:tc>
          <w:p>
            <w:pPr>
              <w:pStyle w:val="Compact"/>
              <w:jc w:val="center"/>
            </w:pPr>
            <w:r>
              <w:t xml:space="preserve">&lt; 0.0001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BRCA 1/2 mutation (reference</w:t>
            </w:r>
            <w:r>
              <w:t xml:space="preserve"> </w:t>
            </w:r>
            <w:r>
              <w:t xml:space="preserve">group: all wildtypes)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BRCA1 mutation</w:t>
            </w:r>
          </w:p>
        </w:tc>
        <w:tc>
          <w:p>
            <w:pPr>
              <w:pStyle w:val="Compact"/>
              <w:jc w:val="center"/>
            </w:pPr>
            <w:r>
              <w:t xml:space="preserve">1.01 (0.63-1.61)</w:t>
            </w:r>
          </w:p>
        </w:tc>
        <w:tc>
          <w:p>
            <w:pPr>
              <w:pStyle w:val="Compact"/>
              <w:jc w:val="center"/>
            </w:pPr>
            <w:r>
              <w:t xml:space="preserve">0.0003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BRCA2 mutation</w:t>
            </w:r>
          </w:p>
        </w:tc>
        <w:tc>
          <w:p>
            <w:pPr>
              <w:pStyle w:val="Compact"/>
              <w:jc w:val="center"/>
            </w:pPr>
            <w:r>
              <w:t xml:space="preserve">0.23 (0.1-0.53)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NOS</w:t>
            </w:r>
          </w:p>
        </w:tc>
        <w:tc>
          <w:p>
            <w:pPr>
              <w:pStyle w:val="Compact"/>
              <w:jc w:val="center"/>
            </w:pPr>
            <w:r>
              <w:t xml:space="preserve">0.93 (0.12-7.09)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Age</w:t>
            </w:r>
          </w:p>
        </w:tc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1.02 (1-1.04)</w:t>
            </w:r>
          </w:p>
        </w:tc>
        <w:tc>
          <w:p>
            <w:pPr>
              <w:pStyle w:val="Compact"/>
              <w:jc w:val="center"/>
            </w:pPr>
            <w:r>
              <w:t xml:space="preserve">0.0165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Stage (reference group: low)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1.95 (0.98-3.87)</w:t>
            </w:r>
          </w:p>
        </w:tc>
        <w:tc>
          <w:p>
            <w:pPr>
              <w:pStyle w:val="Compact"/>
              <w:jc w:val="center"/>
            </w:pPr>
            <w:r>
              <w:t xml:space="preserve">0.0396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CD8 (reference group: none)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low</w:t>
            </w:r>
          </w:p>
        </w:tc>
        <w:tc>
          <w:p>
            <w:pPr>
              <w:pStyle w:val="Compact"/>
              <w:jc w:val="center"/>
            </w:pPr>
            <w:r>
              <w:t xml:space="preserve">0.95 (0.55-1.64)</w:t>
            </w:r>
          </w:p>
        </w:tc>
        <w:tc>
          <w:p>
            <w:pPr>
              <w:pStyle w:val="Compact"/>
              <w:jc w:val="center"/>
            </w:pPr>
            <w:r>
              <w:t xml:space="preserve">0.0014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med</w:t>
            </w:r>
          </w:p>
        </w:tc>
        <w:tc>
          <w:p>
            <w:pPr>
              <w:pStyle w:val="Compact"/>
              <w:jc w:val="center"/>
            </w:pPr>
            <w:r>
              <w:t xml:space="preserve">0.58 (0.35-0.96)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0.32 (0.16-0.63)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PFS</w:t>
            </w:r>
          </w:p>
        </w:tc>
        <w:tc>
          <w:p>
            <w:pPr>
              <w:pStyle w:val="Compact"/>
              <w:jc w:val="center"/>
            </w:pPr>
            <w:r>
              <w:t xml:space="preserve">176 / 208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Final Subtype (reference</w:t>
            </w:r>
            <w:r>
              <w:t xml:space="preserve"> </w:t>
            </w:r>
            <w:r>
              <w:t xml:space="preserve">group: C1.MES)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1.53 (0.98-2.39)</w:t>
            </w:r>
          </w:p>
        </w:tc>
        <w:tc>
          <w:p>
            <w:pPr>
              <w:pStyle w:val="Compact"/>
              <w:jc w:val="center"/>
            </w:pPr>
            <w:r>
              <w:t xml:space="preserve">0.2683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1.31 (0.86-2)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1.08 (0.64-1.85)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Residual Disease (reference</w:t>
            </w:r>
            <w:r>
              <w:t xml:space="preserve"> </w:t>
            </w:r>
            <w:r>
              <w:t xml:space="preserve">group: no residual)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any residual</w:t>
            </w:r>
          </w:p>
        </w:tc>
        <w:tc>
          <w:p>
            <w:pPr>
              <w:pStyle w:val="Compact"/>
              <w:jc w:val="center"/>
            </w:pPr>
            <w:r>
              <w:t xml:space="preserve">1.86 (1.31-2.65)</w:t>
            </w:r>
          </w:p>
        </w:tc>
        <w:tc>
          <w:p>
            <w:pPr>
              <w:pStyle w:val="Compact"/>
              <w:jc w:val="center"/>
            </w:pPr>
            <w:r>
              <w:t xml:space="preserve">0.0005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BRCA 1/2 mutation (reference</w:t>
            </w:r>
            <w:r>
              <w:t xml:space="preserve"> </w:t>
            </w:r>
            <w:r>
              <w:t xml:space="preserve">group: all wildtypes)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BRCA1 mutation</w:t>
            </w:r>
          </w:p>
        </w:tc>
        <w:tc>
          <w:p>
            <w:pPr>
              <w:pStyle w:val="Compact"/>
              <w:jc w:val="center"/>
            </w:pPr>
            <w:r>
              <w:t xml:space="preserve">0.79 (0.51-1.24)</w:t>
            </w:r>
          </w:p>
        </w:tc>
        <w:tc>
          <w:p>
            <w:pPr>
              <w:pStyle w:val="Compact"/>
              <w:jc w:val="center"/>
            </w:pPr>
            <w:r>
              <w:t xml:space="preserve">0.1647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BRCA2 mutation</w:t>
            </w:r>
          </w:p>
        </w:tc>
        <w:tc>
          <w:p>
            <w:pPr>
              <w:pStyle w:val="Compact"/>
              <w:jc w:val="center"/>
            </w:pPr>
            <w:r>
              <w:t xml:space="preserve">0.54 (0.29-1.02)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NOS</w:t>
            </w:r>
          </w:p>
        </w:tc>
        <w:tc>
          <w:p>
            <w:pPr>
              <w:pStyle w:val="Compact"/>
              <w:jc w:val="center"/>
            </w:pPr>
            <w:r>
              <w:t xml:space="preserve">0.45 (0.06-3.38)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Age</w:t>
            </w:r>
          </w:p>
        </w:tc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1 (0.99-1.01)</w:t>
            </w:r>
          </w:p>
        </w:tc>
        <w:tc>
          <w:p>
            <w:pPr>
              <w:pStyle w:val="Compact"/>
              <w:jc w:val="center"/>
            </w:pPr>
            <w:r>
              <w:t xml:space="preserve">0.9549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Stage (reference group: low)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3.75 (1.9-7.4)</w:t>
            </w:r>
          </w:p>
        </w:tc>
        <w:tc>
          <w:p>
            <w:pPr>
              <w:pStyle w:val="Compact"/>
              <w:jc w:val="center"/>
            </w:pPr>
            <w:r>
              <w:t xml:space="preserve">&lt; 0.0001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CD8 (reference group: none)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low</w:t>
            </w:r>
          </w:p>
        </w:tc>
        <w:tc>
          <w:p>
            <w:pPr>
              <w:pStyle w:val="Compact"/>
              <w:jc w:val="center"/>
            </w:pPr>
            <w:r>
              <w:t xml:space="preserve">1.29 (0.73-2.26)</w:t>
            </w:r>
          </w:p>
        </w:tc>
        <w:tc>
          <w:p>
            <w:pPr>
              <w:pStyle w:val="Compact"/>
              <w:jc w:val="center"/>
            </w:pPr>
            <w:r>
              <w:t xml:space="preserve">0.1501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med</w:t>
            </w:r>
          </w:p>
        </w:tc>
        <w:tc>
          <w:p>
            <w:pPr>
              <w:pStyle w:val="Compact"/>
              <w:jc w:val="center"/>
            </w:pPr>
            <w:r>
              <w:t xml:space="preserve">0.96 (0.58-1.57)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0.66 (0.35-1.26)</w:t>
            </w:r>
          </w:p>
        </w:tc>
        <w:tc>
          <w:p/>
        </w:tc>
      </w:tr>
    </w:tbl>
    <w:p>
      <w:pPr>
        <w:pStyle w:val="Heading3"/>
      </w:pPr>
      <w:bookmarkStart w:id="62" w:name="X14e5f6b311544098705b6362e138f6eee1a905e"/>
      <w:r>
        <w:rPr>
          <w:i/>
        </w:rPr>
        <w:t xml:space="preserve">Table SC11:</w:t>
      </w:r>
      <w:r>
        <w:t xml:space="preserve"> </w:t>
      </w:r>
      <w:r>
        <w:t xml:space="preserve">Multivariable survival analysis of overall and progression-free survival, adjusting for final subtype, residual disease, age, stage, and CD8</w:t>
      </w:r>
      <w:bookmarkEnd w:id="62"/>
    </w:p>
    <w:p>
      <w:pPr>
        <w:pStyle w:val="TableCaption"/>
      </w:pPr>
      <w:r>
        <w:t xml:space="preserve">Multivariable Analyses: all covariates except BRCA 1/2</w:t>
      </w:r>
    </w:p>
    <w:tbl>
      <w:tblPr>
        <w:tblStyle w:val="Table"/>
        <w:tblW w:type="pct" w:w="5000.0"/>
        <w:tblLook w:firstRow="1"/>
        <w:tblCaption w:val="Multivariable Analyses: all covariates except BRCA 1/2"/>
      </w:tblPr>
      <w:tblGrid>
        <w:gridCol w:w="2407"/>
        <w:gridCol w:w="1397"/>
        <w:gridCol w:w="1164"/>
        <w:gridCol w:w="1863"/>
        <w:gridCol w:w="108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# of events / 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Hazard Ratio (95% CI)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LRT P-value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OS</w:t>
            </w:r>
          </w:p>
        </w:tc>
        <w:tc>
          <w:p>
            <w:pPr>
              <w:pStyle w:val="Compact"/>
              <w:jc w:val="center"/>
            </w:pPr>
            <w:r>
              <w:t xml:space="preserve">494 / 724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Final Subtype (reference</w:t>
            </w:r>
            <w:r>
              <w:t xml:space="preserve"> </w:t>
            </w:r>
            <w:r>
              <w:t xml:space="preserve">group: C1.MES)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0.7 (0.54-0.92)</w:t>
            </w:r>
          </w:p>
        </w:tc>
        <w:tc>
          <w:p>
            <w:pPr>
              <w:pStyle w:val="Compact"/>
              <w:jc w:val="center"/>
            </w:pPr>
            <w:r>
              <w:t xml:space="preserve">0.0477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0.78 (0.62-0.99)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0.77 (0.59-1.02)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Residual Disease (reference</w:t>
            </w:r>
            <w:r>
              <w:t xml:space="preserve"> </w:t>
            </w:r>
            <w:r>
              <w:t xml:space="preserve">group: no residual)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any residual</w:t>
            </w:r>
          </w:p>
        </w:tc>
        <w:tc>
          <w:p>
            <w:pPr>
              <w:pStyle w:val="Compact"/>
              <w:jc w:val="center"/>
            </w:pPr>
            <w:r>
              <w:t xml:space="preserve">1.74 (1.4-2.16)</w:t>
            </w:r>
          </w:p>
        </w:tc>
        <w:tc>
          <w:p>
            <w:pPr>
              <w:pStyle w:val="Compact"/>
              <w:jc w:val="center"/>
            </w:pPr>
            <w:r>
              <w:t xml:space="preserve">&lt; 0.0001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Age</w:t>
            </w:r>
          </w:p>
        </w:tc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1.02 (1.01-1.03)</w:t>
            </w:r>
          </w:p>
        </w:tc>
        <w:tc>
          <w:p>
            <w:pPr>
              <w:pStyle w:val="Compact"/>
              <w:jc w:val="center"/>
            </w:pPr>
            <w:r>
              <w:t xml:space="preserve">0.0001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Stage (reference group: low)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2.13 (1.49-3.03)</w:t>
            </w:r>
          </w:p>
        </w:tc>
        <w:tc>
          <w:p>
            <w:pPr>
              <w:pStyle w:val="Compact"/>
              <w:jc w:val="center"/>
            </w:pPr>
            <w:r>
              <w:t xml:space="preserve">&lt; 0.0001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CD8 (reference group: none)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low</w:t>
            </w:r>
          </w:p>
        </w:tc>
        <w:tc>
          <w:p>
            <w:pPr>
              <w:pStyle w:val="Compact"/>
              <w:jc w:val="center"/>
            </w:pPr>
            <w:r>
              <w:t xml:space="preserve">0.95 (0.7-1.29)</w:t>
            </w:r>
          </w:p>
        </w:tc>
        <w:tc>
          <w:p>
            <w:pPr>
              <w:pStyle w:val="Compact"/>
              <w:jc w:val="center"/>
            </w:pPr>
            <w:r>
              <w:t xml:space="preserve">0.0396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med</w:t>
            </w:r>
          </w:p>
        </w:tc>
        <w:tc>
          <w:p>
            <w:pPr>
              <w:pStyle w:val="Compact"/>
              <w:jc w:val="center"/>
            </w:pPr>
            <w:r>
              <w:t xml:space="preserve">0.77 (0.59-1.01)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0.67 (0.48-0.93)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PFS</w:t>
            </w:r>
          </w:p>
        </w:tc>
        <w:tc>
          <w:p>
            <w:pPr>
              <w:pStyle w:val="Compact"/>
              <w:jc w:val="center"/>
            </w:pPr>
            <w:r>
              <w:t xml:space="preserve">539 / 669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Final Subtype (reference</w:t>
            </w:r>
            <w:r>
              <w:t xml:space="preserve"> </w:t>
            </w:r>
            <w:r>
              <w:t xml:space="preserve">group: C1.MES)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0.77 (0.59-0.99)</w:t>
            </w:r>
          </w:p>
        </w:tc>
        <w:tc>
          <w:p>
            <w:pPr>
              <w:pStyle w:val="Compact"/>
              <w:jc w:val="center"/>
            </w:pPr>
            <w:r>
              <w:t xml:space="preserve">0.2140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0.88 (0.7-1.1)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0.85 (0.64-1.11)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Residual Disease (reference</w:t>
            </w:r>
            <w:r>
              <w:t xml:space="preserve"> </w:t>
            </w:r>
            <w:r>
              <w:t xml:space="preserve">group: no residual)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any residual</w:t>
            </w:r>
          </w:p>
        </w:tc>
        <w:tc>
          <w:p>
            <w:pPr>
              <w:pStyle w:val="Compact"/>
              <w:jc w:val="center"/>
            </w:pPr>
            <w:r>
              <w:t xml:space="preserve">1.67 (1.37-2.04)</w:t>
            </w:r>
          </w:p>
        </w:tc>
        <w:tc>
          <w:p>
            <w:pPr>
              <w:pStyle w:val="Compact"/>
              <w:jc w:val="center"/>
            </w:pPr>
            <w:r>
              <w:t xml:space="preserve">&lt; 0.0001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Age</w:t>
            </w:r>
          </w:p>
        </w:tc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1 (1-1.01)</w:t>
            </w:r>
          </w:p>
        </w:tc>
        <w:tc>
          <w:p>
            <w:pPr>
              <w:pStyle w:val="Compact"/>
              <w:jc w:val="center"/>
            </w:pPr>
            <w:r>
              <w:t xml:space="preserve">0.3303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Stage (reference group: low)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2.6 (1.84-3.69)</w:t>
            </w:r>
          </w:p>
        </w:tc>
        <w:tc>
          <w:p>
            <w:pPr>
              <w:pStyle w:val="Compact"/>
              <w:jc w:val="center"/>
            </w:pPr>
            <w:r>
              <w:t xml:space="preserve">&lt; 0.0001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CD8 (reference group: none)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low</w:t>
            </w:r>
          </w:p>
        </w:tc>
        <w:tc>
          <w:p>
            <w:pPr>
              <w:pStyle w:val="Compact"/>
              <w:jc w:val="center"/>
            </w:pPr>
            <w:r>
              <w:t xml:space="preserve">1.2 (0.89-1.62)</w:t>
            </w:r>
          </w:p>
        </w:tc>
        <w:tc>
          <w:p>
            <w:pPr>
              <w:pStyle w:val="Compact"/>
              <w:jc w:val="center"/>
            </w:pPr>
            <w:r>
              <w:t xml:space="preserve">0.1614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med</w:t>
            </w:r>
          </w:p>
        </w:tc>
        <w:tc>
          <w:p>
            <w:pPr>
              <w:pStyle w:val="Compact"/>
              <w:jc w:val="center"/>
            </w:pPr>
            <w:r>
              <w:t xml:space="preserve">1.03 (0.8-1.34)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0.86 (0.62-1.19)</w:t>
            </w:r>
          </w:p>
        </w:tc>
        <w:tc>
          <w:p/>
        </w:tc>
      </w:tr>
    </w:tbl>
    <w:p>
      <w:pPr>
        <w:pStyle w:val="Heading3"/>
      </w:pPr>
      <w:bookmarkStart w:id="63" w:name="X8a1bc79baeda8d469a86f1ec5719c54cca42be5"/>
      <w:r>
        <w:rPr>
          <w:i/>
        </w:rPr>
        <w:t xml:space="preserve">Table SC12:</w:t>
      </w:r>
      <w:r>
        <w:t xml:space="preserve"> </w:t>
      </w:r>
      <w:r>
        <w:t xml:space="preserve">Multivariable survival analysis of overall and progression-free survival, adjusting for final subtype, BRCA mutation, age, stage, and CD8</w:t>
      </w:r>
      <w:bookmarkEnd w:id="63"/>
    </w:p>
    <w:p>
      <w:pPr>
        <w:pStyle w:val="TableCaption"/>
      </w:pPr>
      <w:r>
        <w:t xml:space="preserve">Multivariable Analyses: all covariates except residual disease</w:t>
      </w:r>
    </w:p>
    <w:tbl>
      <w:tblPr>
        <w:tblStyle w:val="Table"/>
        <w:tblW w:type="pct" w:w="5000.0"/>
        <w:tblLook w:firstRow="1"/>
        <w:tblCaption w:val="Multivariable Analyses: all covariates except residual disease"/>
      </w:tblPr>
      <w:tblGrid>
        <w:gridCol w:w="2134"/>
        <w:gridCol w:w="1239"/>
        <w:gridCol w:w="1928"/>
        <w:gridCol w:w="1652"/>
        <w:gridCol w:w="96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# of events / 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Hazard Ratio (95% CI)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LRT P-value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OS</w:t>
            </w:r>
          </w:p>
        </w:tc>
        <w:tc>
          <w:p>
            <w:pPr>
              <w:pStyle w:val="Compact"/>
              <w:jc w:val="center"/>
            </w:pPr>
            <w:r>
              <w:t xml:space="preserve">346 / 509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Final Subtype (reference</w:t>
            </w:r>
            <w:r>
              <w:t xml:space="preserve"> </w:t>
            </w:r>
            <w:r>
              <w:t xml:space="preserve">group: C1.MES)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0.77 (0.56-1.05)</w:t>
            </w:r>
          </w:p>
        </w:tc>
        <w:tc>
          <w:p>
            <w:pPr>
              <w:pStyle w:val="Compact"/>
              <w:jc w:val="center"/>
            </w:pPr>
            <w:r>
              <w:t xml:space="preserve">0.0096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0.62 (0.47-0.83)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0.68 (0.5-0.94)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BRCA 1/2 mutation (reference</w:t>
            </w:r>
            <w:r>
              <w:t xml:space="preserve"> </w:t>
            </w:r>
            <w:r>
              <w:t xml:space="preserve">group: all wildtypes)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BRCA1 mutation</w:t>
            </w:r>
          </w:p>
        </w:tc>
        <w:tc>
          <w:p>
            <w:pPr>
              <w:pStyle w:val="Compact"/>
              <w:jc w:val="center"/>
            </w:pPr>
            <w:r>
              <w:t xml:space="preserve">1.08 (0.76-1.53)</w:t>
            </w:r>
          </w:p>
        </w:tc>
        <w:tc>
          <w:p>
            <w:pPr>
              <w:pStyle w:val="Compact"/>
              <w:jc w:val="center"/>
            </w:pPr>
            <w:r>
              <w:t xml:space="preserve">&lt; 0.0001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BRCA2 mutation</w:t>
            </w:r>
          </w:p>
        </w:tc>
        <w:tc>
          <w:p>
            <w:pPr>
              <w:pStyle w:val="Compact"/>
              <w:jc w:val="center"/>
            </w:pPr>
            <w:r>
              <w:t xml:space="preserve">0.31 (0.18-0.52)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NOS</w:t>
            </w:r>
          </w:p>
        </w:tc>
        <w:tc>
          <w:p>
            <w:pPr>
              <w:pStyle w:val="Compact"/>
              <w:jc w:val="center"/>
            </w:pPr>
            <w:r>
              <w:t xml:space="preserve">1.56 (0.21-11.32)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Age</w:t>
            </w:r>
          </w:p>
        </w:tc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1.03 (1.02-1.04)</w:t>
            </w:r>
          </w:p>
        </w:tc>
        <w:tc>
          <w:p>
            <w:pPr>
              <w:pStyle w:val="Compact"/>
              <w:jc w:val="center"/>
            </w:pPr>
            <w:r>
              <w:t xml:space="preserve">&lt; 0.0001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Stage (reference group: low)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2.99 (2.15-4.18)</w:t>
            </w:r>
          </w:p>
        </w:tc>
        <w:tc>
          <w:p>
            <w:pPr>
              <w:pStyle w:val="Compact"/>
              <w:jc w:val="center"/>
            </w:pPr>
            <w:r>
              <w:t xml:space="preserve">&lt; 0.0001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CD8 (reference group: none)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low</w:t>
            </w:r>
          </w:p>
        </w:tc>
        <w:tc>
          <w:p>
            <w:pPr>
              <w:pStyle w:val="Compact"/>
              <w:jc w:val="center"/>
            </w:pPr>
            <w:r>
              <w:t xml:space="preserve">0.86 (0.61-1.22)</w:t>
            </w:r>
          </w:p>
        </w:tc>
        <w:tc>
          <w:p>
            <w:pPr>
              <w:pStyle w:val="Compact"/>
              <w:jc w:val="center"/>
            </w:pPr>
            <w:r>
              <w:t xml:space="preserve">0.0001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med</w:t>
            </w:r>
          </w:p>
        </w:tc>
        <w:tc>
          <w:p>
            <w:pPr>
              <w:pStyle w:val="Compact"/>
              <w:jc w:val="center"/>
            </w:pPr>
            <w:r>
              <w:t xml:space="preserve">0.8 (0.59-1.08)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0.41 (0.26-0.63)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PFS</w:t>
            </w:r>
          </w:p>
        </w:tc>
        <w:tc>
          <w:p>
            <w:pPr>
              <w:pStyle w:val="Compact"/>
              <w:jc w:val="center"/>
            </w:pPr>
            <w:r>
              <w:t xml:space="preserve">221 / 255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Final Subtype (reference</w:t>
            </w:r>
            <w:r>
              <w:t xml:space="preserve"> </w:t>
            </w:r>
            <w:r>
              <w:t xml:space="preserve">group: C1.MES)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1.28 (0.87-1.88)</w:t>
            </w:r>
          </w:p>
        </w:tc>
        <w:tc>
          <w:p>
            <w:pPr>
              <w:pStyle w:val="Compact"/>
              <w:jc w:val="center"/>
            </w:pPr>
            <w:r>
              <w:t xml:space="preserve">0.0801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0.88 (0.63-1.24)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0.69 (0.45-1.05)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BRCA 1/2 mutation (reference</w:t>
            </w:r>
            <w:r>
              <w:t xml:space="preserve"> </w:t>
            </w:r>
            <w:r>
              <w:t xml:space="preserve">group: all wildtypes)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BRCA1 mutation</w:t>
            </w:r>
          </w:p>
        </w:tc>
        <w:tc>
          <w:p>
            <w:pPr>
              <w:pStyle w:val="Compact"/>
              <w:jc w:val="center"/>
            </w:pPr>
            <w:r>
              <w:t xml:space="preserve">0.89 (0.59-1.34)</w:t>
            </w:r>
          </w:p>
        </w:tc>
        <w:tc>
          <w:p>
            <w:pPr>
              <w:pStyle w:val="Compact"/>
              <w:jc w:val="center"/>
            </w:pPr>
            <w:r>
              <w:t xml:space="preserve">0.0255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BRCA2 mutation</w:t>
            </w:r>
          </w:p>
        </w:tc>
        <w:tc>
          <w:p>
            <w:pPr>
              <w:pStyle w:val="Compact"/>
              <w:jc w:val="center"/>
            </w:pPr>
            <w:r>
              <w:t xml:space="preserve">0.45 (0.26-0.79)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NOS</w:t>
            </w:r>
          </w:p>
        </w:tc>
        <w:tc>
          <w:p>
            <w:pPr>
              <w:pStyle w:val="Compact"/>
              <w:jc w:val="center"/>
            </w:pPr>
            <w:r>
              <w:t xml:space="preserve">0.8 (0.11-5.91)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Age</w:t>
            </w:r>
          </w:p>
        </w:tc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1.01 (1-1.02)</w:t>
            </w:r>
          </w:p>
        </w:tc>
        <w:tc>
          <w:p>
            <w:pPr>
              <w:pStyle w:val="Compact"/>
              <w:jc w:val="center"/>
            </w:pPr>
            <w:r>
              <w:t xml:space="preserve">0.1705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Stage (reference group: low)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3.87 (2.21-6.78)</w:t>
            </w:r>
          </w:p>
        </w:tc>
        <w:tc>
          <w:p>
            <w:pPr>
              <w:pStyle w:val="Compact"/>
              <w:jc w:val="center"/>
            </w:pPr>
            <w:r>
              <w:t xml:space="preserve">&lt; 0.0001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CD8 (reference group: none)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low</w:t>
            </w:r>
          </w:p>
        </w:tc>
        <w:tc>
          <w:p>
            <w:pPr>
              <w:pStyle w:val="Compact"/>
              <w:jc w:val="center"/>
            </w:pPr>
            <w:r>
              <w:t xml:space="preserve">1.21 (0.76-1.92)</w:t>
            </w:r>
          </w:p>
        </w:tc>
        <w:tc>
          <w:p>
            <w:pPr>
              <w:pStyle w:val="Compact"/>
              <w:jc w:val="center"/>
            </w:pPr>
            <w:r>
              <w:t xml:space="preserve">0.0647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med</w:t>
            </w:r>
          </w:p>
        </w:tc>
        <w:tc>
          <w:p>
            <w:pPr>
              <w:pStyle w:val="Compact"/>
              <w:jc w:val="center"/>
            </w:pPr>
            <w:r>
              <w:t xml:space="preserve">0.95 (0.64-1.4)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0.6 (0.35-1.04)</w:t>
            </w:r>
          </w:p>
        </w:tc>
        <w:tc>
          <w:p/>
        </w:tc>
      </w:tr>
    </w:tbl>
    <w:p>
      <w:pPr>
        <w:pStyle w:val="Heading3"/>
      </w:pPr>
      <w:bookmarkStart w:id="64" w:name="Xaae7e7ba123dd2aa5c3157a5c226c694abafae2"/>
      <w:r>
        <w:rPr>
          <w:i/>
        </w:rPr>
        <w:t xml:space="preserve">Table SC13:</w:t>
      </w:r>
      <w:r>
        <w:t xml:space="preserve"> </w:t>
      </w:r>
      <w:r>
        <w:t xml:space="preserve">Multivariable survival analysis of overall and progression-free survival, adjusting for final subtype, BRCA mutation, age and stage</w:t>
      </w:r>
      <w:bookmarkEnd w:id="64"/>
    </w:p>
    <w:p>
      <w:pPr>
        <w:pStyle w:val="TableCaption"/>
      </w:pPr>
      <w:r>
        <w:t xml:space="preserve">Multivariable Analyses: all covariates except CD8</w:t>
      </w:r>
    </w:p>
    <w:tbl>
      <w:tblPr>
        <w:tblStyle w:val="Table"/>
        <w:tblW w:type="pct" w:w="5000.0"/>
        <w:tblLook w:firstRow="1"/>
        <w:tblCaption w:val="Multivariable Analyses: all covariates except CD8"/>
      </w:tblPr>
      <w:tblGrid>
        <w:gridCol w:w="2134"/>
        <w:gridCol w:w="1239"/>
        <w:gridCol w:w="1928"/>
        <w:gridCol w:w="1652"/>
        <w:gridCol w:w="96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# of events / 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Hazard Ratio (95% CI)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LRT P-value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OS</w:t>
            </w:r>
          </w:p>
        </w:tc>
        <w:tc>
          <w:p>
            <w:pPr>
              <w:pStyle w:val="Compact"/>
              <w:jc w:val="center"/>
            </w:pPr>
            <w:r>
              <w:t xml:space="preserve">391 / 494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Final Subtype (reference</w:t>
            </w:r>
            <w:r>
              <w:t xml:space="preserve"> </w:t>
            </w:r>
            <w:r>
              <w:t xml:space="preserve">group: C1.MES)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0.87 (0.67-1.13)</w:t>
            </w:r>
          </w:p>
        </w:tc>
        <w:tc>
          <w:p>
            <w:pPr>
              <w:pStyle w:val="Compact"/>
              <w:jc w:val="center"/>
            </w:pPr>
            <w:r>
              <w:t xml:space="preserve">0.0139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0.72 (0.55-0.94)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1.22 (0.89-1.68)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Residual Disease (reference</w:t>
            </w:r>
            <w:r>
              <w:t xml:space="preserve"> </w:t>
            </w:r>
            <w:r>
              <w:t xml:space="preserve">group: no residual)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any residual</w:t>
            </w:r>
          </w:p>
        </w:tc>
        <w:tc>
          <w:p>
            <w:pPr>
              <w:pStyle w:val="Compact"/>
              <w:jc w:val="center"/>
            </w:pPr>
            <w:r>
              <w:t xml:space="preserve">1.96 (1.53-2.52)</w:t>
            </w:r>
          </w:p>
        </w:tc>
        <w:tc>
          <w:p>
            <w:pPr>
              <w:pStyle w:val="Compact"/>
              <w:jc w:val="center"/>
            </w:pPr>
            <w:r>
              <w:t xml:space="preserve">&lt; 0.0001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BRCA 1/2 mutation (reference</w:t>
            </w:r>
            <w:r>
              <w:t xml:space="preserve"> </w:t>
            </w:r>
            <w:r>
              <w:t xml:space="preserve">group: all wildtypes)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BRCA1 mutation</w:t>
            </w:r>
          </w:p>
        </w:tc>
        <w:tc>
          <w:p>
            <w:pPr>
              <w:pStyle w:val="Compact"/>
              <w:jc w:val="center"/>
            </w:pPr>
            <w:r>
              <w:t xml:space="preserve">0.74 (0.55-0.99)</w:t>
            </w:r>
          </w:p>
        </w:tc>
        <w:tc>
          <w:p>
            <w:pPr>
              <w:pStyle w:val="Compact"/>
              <w:jc w:val="center"/>
            </w:pPr>
            <w:r>
              <w:t xml:space="preserve">0.0006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BRCA2 mutation</w:t>
            </w:r>
          </w:p>
        </w:tc>
        <w:tc>
          <w:p>
            <w:pPr>
              <w:pStyle w:val="Compact"/>
              <w:jc w:val="center"/>
            </w:pPr>
            <w:r>
              <w:t xml:space="preserve">0.49 (0.33-0.72)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NOS</w:t>
            </w:r>
          </w:p>
        </w:tc>
        <w:tc>
          <w:p>
            <w:pPr>
              <w:pStyle w:val="Compact"/>
              <w:jc w:val="center"/>
            </w:pPr>
            <w:r>
              <w:t xml:space="preserve">1.19 (0.29-4.87)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Age</w:t>
            </w:r>
          </w:p>
        </w:tc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1.02 (1.01-1.03)</w:t>
            </w:r>
          </w:p>
        </w:tc>
        <w:tc>
          <w:p>
            <w:pPr>
              <w:pStyle w:val="Compact"/>
              <w:jc w:val="center"/>
            </w:pPr>
            <w:r>
              <w:t xml:space="preserve">0.0031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Stage (reference group: low)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2.25 (1.36-3.73)</w:t>
            </w:r>
          </w:p>
        </w:tc>
        <w:tc>
          <w:p>
            <w:pPr>
              <w:pStyle w:val="Compact"/>
              <w:jc w:val="center"/>
            </w:pPr>
            <w:r>
              <w:t xml:space="preserve">0.0005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PFS</w:t>
            </w:r>
          </w:p>
        </w:tc>
        <w:tc>
          <w:p>
            <w:pPr>
              <w:pStyle w:val="Compact"/>
              <w:jc w:val="center"/>
            </w:pPr>
            <w:r>
              <w:t xml:space="preserve">417 / 470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Final Subtype (reference</w:t>
            </w:r>
            <w:r>
              <w:t xml:space="preserve"> </w:t>
            </w:r>
            <w:r>
              <w:t xml:space="preserve">group: C1.MES)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1.18 (0.91-1.52)</w:t>
            </w:r>
          </w:p>
        </w:tc>
        <w:tc>
          <w:p>
            <w:pPr>
              <w:pStyle w:val="Compact"/>
              <w:jc w:val="center"/>
            </w:pPr>
            <w:r>
              <w:t xml:space="preserve">0.3475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0.93 (0.72-1.21)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1.15 (0.84-1.58)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Residual Disease (reference</w:t>
            </w:r>
            <w:r>
              <w:t xml:space="preserve"> </w:t>
            </w:r>
            <w:r>
              <w:t xml:space="preserve">group: no residual)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any residual</w:t>
            </w:r>
          </w:p>
        </w:tc>
        <w:tc>
          <w:p>
            <w:pPr>
              <w:pStyle w:val="Compact"/>
              <w:jc w:val="center"/>
            </w:pPr>
            <w:r>
              <w:t xml:space="preserve">1.79 (1.42-2.26)</w:t>
            </w:r>
          </w:p>
        </w:tc>
        <w:tc>
          <w:p>
            <w:pPr>
              <w:pStyle w:val="Compact"/>
              <w:jc w:val="center"/>
            </w:pPr>
            <w:r>
              <w:t xml:space="preserve">&lt; 0.0001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BRCA 1/2 mutation (reference</w:t>
            </w:r>
            <w:r>
              <w:t xml:space="preserve"> </w:t>
            </w:r>
            <w:r>
              <w:t xml:space="preserve">group: all wildtypes)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BRCA1 mutation</w:t>
            </w:r>
          </w:p>
        </w:tc>
        <w:tc>
          <w:p>
            <w:pPr>
              <w:pStyle w:val="Compact"/>
              <w:jc w:val="center"/>
            </w:pPr>
            <w:r>
              <w:t xml:space="preserve">0.72 (0.54-0.95)</w:t>
            </w:r>
          </w:p>
        </w:tc>
        <w:tc>
          <w:p>
            <w:pPr>
              <w:pStyle w:val="Compact"/>
              <w:jc w:val="center"/>
            </w:pPr>
            <w:r>
              <w:t xml:space="preserve">0.0107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BRCA2 mutation</w:t>
            </w:r>
          </w:p>
        </w:tc>
        <w:tc>
          <w:p>
            <w:pPr>
              <w:pStyle w:val="Compact"/>
              <w:jc w:val="center"/>
            </w:pPr>
            <w:r>
              <w:t xml:space="preserve">0.61 (0.43-0.88)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NOS</w:t>
            </w:r>
          </w:p>
        </w:tc>
        <w:tc>
          <w:p>
            <w:pPr>
              <w:pStyle w:val="Compact"/>
              <w:jc w:val="center"/>
            </w:pPr>
            <w:r>
              <w:t xml:space="preserve">0.8 (0.2-3.27)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Age</w:t>
            </w:r>
          </w:p>
        </w:tc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1 (0.99-1.01)</w:t>
            </w:r>
          </w:p>
        </w:tc>
        <w:tc>
          <w:p>
            <w:pPr>
              <w:pStyle w:val="Compact"/>
              <w:jc w:val="center"/>
            </w:pPr>
            <w:r>
              <w:t xml:space="preserve">0.5821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Stage (reference group: low)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3.06 (1.9-4.93)</w:t>
            </w:r>
          </w:p>
        </w:tc>
        <w:tc>
          <w:p>
            <w:pPr>
              <w:pStyle w:val="Compact"/>
              <w:jc w:val="center"/>
            </w:pPr>
            <w:r>
              <w:t xml:space="preserve">&lt; 0.0001</w:t>
            </w:r>
          </w:p>
        </w:tc>
      </w:tr>
    </w:tbl>
    <w:p>
      <w:pPr>
        <w:pStyle w:val="Heading3"/>
      </w:pPr>
      <w:bookmarkStart w:id="65" w:name="X517da03e692aee23082fed438b6ae7edab30e0e"/>
      <w:r>
        <w:rPr>
          <w:i/>
        </w:rPr>
        <w:t xml:space="preserve">Table SC14:</w:t>
      </w:r>
      <w:r>
        <w:t xml:space="preserve"> </w:t>
      </w:r>
      <w:r>
        <w:t xml:space="preserve">Multivariable survival analysis of overall and progression-free survival, adjusting for final subtype, residual disease, BRCA mutation, age, stage, and CD8 (adnexal sites only)</w:t>
      </w:r>
      <w:bookmarkEnd w:id="65"/>
    </w:p>
    <w:p>
      <w:pPr>
        <w:pStyle w:val="TableCaption"/>
      </w:pPr>
      <w:r>
        <w:t xml:space="preserve">Multivariable Analyses on Adnexal Sites Only: all covariates</w:t>
      </w:r>
    </w:p>
    <w:tbl>
      <w:tblPr>
        <w:tblStyle w:val="Table"/>
        <w:tblW w:type="pct" w:w="5000.0"/>
        <w:tblLook w:firstRow="1"/>
        <w:tblCaption w:val="Multivariable Analyses on Adnexal Sites Only: all covariates"/>
      </w:tblPr>
      <w:tblGrid>
        <w:gridCol w:w="2134"/>
        <w:gridCol w:w="1239"/>
        <w:gridCol w:w="1928"/>
        <w:gridCol w:w="1652"/>
        <w:gridCol w:w="96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# of events / 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Hazard Ratio (95% CI)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LRT P-value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OS</w:t>
            </w:r>
          </w:p>
        </w:tc>
        <w:tc>
          <w:p>
            <w:pPr>
              <w:pStyle w:val="Compact"/>
              <w:jc w:val="center"/>
            </w:pPr>
            <w:r>
              <w:t xml:space="preserve">80 / 108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Final Subtype (reference</w:t>
            </w:r>
            <w:r>
              <w:t xml:space="preserve"> </w:t>
            </w:r>
            <w:r>
              <w:t xml:space="preserve">group: C1.MES)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1.51 (0.73-3.12)</w:t>
            </w:r>
          </w:p>
        </w:tc>
        <w:tc>
          <w:p>
            <w:pPr>
              <w:pStyle w:val="Compact"/>
              <w:jc w:val="center"/>
            </w:pPr>
            <w:r>
              <w:t xml:space="preserve">0.2755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0.82 (0.43-1.55)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0.68 (0.31-1.5)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Residual Disease (reference</w:t>
            </w:r>
            <w:r>
              <w:t xml:space="preserve"> </w:t>
            </w:r>
            <w:r>
              <w:t xml:space="preserve">group: no residual)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any residual</w:t>
            </w:r>
          </w:p>
        </w:tc>
        <w:tc>
          <w:p>
            <w:pPr>
              <w:pStyle w:val="Compact"/>
              <w:jc w:val="center"/>
            </w:pPr>
            <w:r>
              <w:t xml:space="preserve">3.98 (2.27-6.98)</w:t>
            </w:r>
          </w:p>
        </w:tc>
        <w:tc>
          <w:p>
            <w:pPr>
              <w:pStyle w:val="Compact"/>
              <w:jc w:val="center"/>
            </w:pPr>
            <w:r>
              <w:t xml:space="preserve">&lt; 0.0001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BRCA 1/2 mutation (reference</w:t>
            </w:r>
            <w:r>
              <w:t xml:space="preserve"> </w:t>
            </w:r>
            <w:r>
              <w:t xml:space="preserve">group: all wildtypes)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BRCA1 mutation</w:t>
            </w:r>
          </w:p>
        </w:tc>
        <w:tc>
          <w:p>
            <w:pPr>
              <w:pStyle w:val="Compact"/>
              <w:jc w:val="center"/>
            </w:pPr>
            <w:r>
              <w:t xml:space="preserve">0.96 (0.5-1.86)</w:t>
            </w:r>
          </w:p>
        </w:tc>
        <w:tc>
          <w:p>
            <w:pPr>
              <w:pStyle w:val="Compact"/>
              <w:jc w:val="center"/>
            </w:pPr>
            <w:r>
              <w:t xml:space="preserve">0.0002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BRCA2 mutation</w:t>
            </w:r>
          </w:p>
        </w:tc>
        <w:tc>
          <w:p>
            <w:pPr>
              <w:pStyle w:val="Compact"/>
              <w:jc w:val="center"/>
            </w:pPr>
            <w:r>
              <w:t xml:space="preserve">0.12 (0.04-0.38)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NOS</w:t>
            </w:r>
          </w:p>
        </w:tc>
        <w:tc>
          <w:p>
            <w:pPr>
              <w:pStyle w:val="Compact"/>
              <w:jc w:val="center"/>
            </w:pPr>
            <w:r>
              <w:t xml:space="preserve">0.9 (0.11-7.17)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Age</w:t>
            </w:r>
          </w:p>
        </w:tc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1.04 (1.01-1.06)</w:t>
            </w:r>
          </w:p>
        </w:tc>
        <w:tc>
          <w:p>
            <w:pPr>
              <w:pStyle w:val="Compact"/>
              <w:jc w:val="center"/>
            </w:pPr>
            <w:r>
              <w:t xml:space="preserve">0.0014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Stage (reference group: low)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1.91 (0.81-4.54)</w:t>
            </w:r>
          </w:p>
        </w:tc>
        <w:tc>
          <w:p>
            <w:pPr>
              <w:pStyle w:val="Compact"/>
              <w:jc w:val="center"/>
            </w:pPr>
            <w:r>
              <w:t xml:space="preserve">0.1207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CD8 (reference group: none)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low</w:t>
            </w:r>
          </w:p>
        </w:tc>
        <w:tc>
          <w:p>
            <w:pPr>
              <w:pStyle w:val="Compact"/>
              <w:jc w:val="center"/>
            </w:pPr>
            <w:r>
              <w:t xml:space="preserve">0.76 (0.31-1.91)</w:t>
            </w:r>
          </w:p>
        </w:tc>
        <w:tc>
          <w:p>
            <w:pPr>
              <w:pStyle w:val="Compact"/>
              <w:jc w:val="center"/>
            </w:pPr>
            <w:r>
              <w:t xml:space="preserve">0.0432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med</w:t>
            </w:r>
          </w:p>
        </w:tc>
        <w:tc>
          <w:p>
            <w:pPr>
              <w:pStyle w:val="Compact"/>
              <w:jc w:val="center"/>
            </w:pPr>
            <w:r>
              <w:t xml:space="preserve">0.59 (0.27-1.29)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0.22 (0.07-0.68)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PFS</w:t>
            </w:r>
          </w:p>
        </w:tc>
        <w:tc>
          <w:p>
            <w:pPr>
              <w:pStyle w:val="Compact"/>
              <w:jc w:val="center"/>
            </w:pPr>
            <w:r>
              <w:t xml:space="preserve">91 / 106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Final Subtype (reference</w:t>
            </w:r>
            <w:r>
              <w:t xml:space="preserve"> </w:t>
            </w:r>
            <w:r>
              <w:t xml:space="preserve">group: C1.MES)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2.06 (1.06-4)</w:t>
            </w:r>
          </w:p>
        </w:tc>
        <w:tc>
          <w:p>
            <w:pPr>
              <w:pStyle w:val="Compact"/>
              <w:jc w:val="center"/>
            </w:pPr>
            <w:r>
              <w:t xml:space="preserve">0.0940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1.27 (0.71-2.27)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0.74 (0.33-1.66)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Residual Disease (reference</w:t>
            </w:r>
            <w:r>
              <w:t xml:space="preserve"> </w:t>
            </w:r>
            <w:r>
              <w:t xml:space="preserve">group: no residual)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any residual</w:t>
            </w:r>
          </w:p>
        </w:tc>
        <w:tc>
          <w:p>
            <w:pPr>
              <w:pStyle w:val="Compact"/>
              <w:jc w:val="center"/>
            </w:pPr>
            <w:r>
              <w:t xml:space="preserve">2.26 (1.38-3.69)</w:t>
            </w:r>
          </w:p>
        </w:tc>
        <w:tc>
          <w:p>
            <w:pPr>
              <w:pStyle w:val="Compact"/>
              <w:jc w:val="center"/>
            </w:pPr>
            <w:r>
              <w:t xml:space="preserve">0.0010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BRCA 1/2 mutation (reference</w:t>
            </w:r>
            <w:r>
              <w:t xml:space="preserve"> </w:t>
            </w:r>
            <w:r>
              <w:t xml:space="preserve">group: all wildtypes)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BRCA1 mutation</w:t>
            </w:r>
          </w:p>
        </w:tc>
        <w:tc>
          <w:p>
            <w:pPr>
              <w:pStyle w:val="Compact"/>
              <w:jc w:val="center"/>
            </w:pPr>
            <w:r>
              <w:t xml:space="preserve">0.63 (0.33-1.2)</w:t>
            </w:r>
          </w:p>
        </w:tc>
        <w:tc>
          <w:p>
            <w:pPr>
              <w:pStyle w:val="Compact"/>
              <w:jc w:val="center"/>
            </w:pPr>
            <w:r>
              <w:t xml:space="preserve">0.0349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BRCA2 mutation</w:t>
            </w:r>
          </w:p>
        </w:tc>
        <w:tc>
          <w:p>
            <w:pPr>
              <w:pStyle w:val="Compact"/>
              <w:jc w:val="center"/>
            </w:pPr>
            <w:r>
              <w:t xml:space="preserve">0.35 (0.15-0.8)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NOS</w:t>
            </w:r>
          </w:p>
        </w:tc>
        <w:tc>
          <w:p>
            <w:pPr>
              <w:pStyle w:val="Compact"/>
              <w:jc w:val="center"/>
            </w:pPr>
            <w:r>
              <w:t xml:space="preserve">0.5 (0.06-3.88)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Age</w:t>
            </w:r>
          </w:p>
        </w:tc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1.01 (0.99-1.03)</w:t>
            </w:r>
          </w:p>
        </w:tc>
        <w:tc>
          <w:p>
            <w:pPr>
              <w:pStyle w:val="Compact"/>
              <w:jc w:val="center"/>
            </w:pPr>
            <w:r>
              <w:t xml:space="preserve">0.2573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Stage (reference group: low)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3.44 (1.49-7.98)</w:t>
            </w:r>
          </w:p>
        </w:tc>
        <w:tc>
          <w:p>
            <w:pPr>
              <w:pStyle w:val="Compact"/>
              <w:jc w:val="center"/>
            </w:pPr>
            <w:r>
              <w:t xml:space="preserve">0.0013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CD8 (reference group: none)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low</w:t>
            </w:r>
          </w:p>
        </w:tc>
        <w:tc>
          <w:p>
            <w:pPr>
              <w:pStyle w:val="Compact"/>
              <w:jc w:val="center"/>
            </w:pPr>
            <w:r>
              <w:t xml:space="preserve">0.89 (0.36-2.18)</w:t>
            </w:r>
          </w:p>
        </w:tc>
        <w:tc>
          <w:p>
            <w:pPr>
              <w:pStyle w:val="Compact"/>
              <w:jc w:val="center"/>
            </w:pPr>
            <w:r>
              <w:t xml:space="preserve">0.1163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med</w:t>
            </w:r>
          </w:p>
        </w:tc>
        <w:tc>
          <w:p>
            <w:pPr>
              <w:pStyle w:val="Compact"/>
              <w:jc w:val="center"/>
            </w:pPr>
            <w:r>
              <w:t xml:space="preserve">0.57 (0.27-1.2)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0.32 (0.11-0.89)</w:t>
            </w:r>
          </w:p>
        </w:tc>
        <w:tc>
          <w:p/>
        </w:tc>
      </w:tr>
    </w:tbl>
    <w:p>
      <w:pPr>
        <w:pStyle w:val="Heading3"/>
      </w:pPr>
      <w:bookmarkStart w:id="66" w:name="X87f965466ed8f8604ecae3c66ea02800cd29ac7"/>
      <w:r>
        <w:rPr>
          <w:i/>
        </w:rPr>
        <w:t xml:space="preserve">Table SC15:</w:t>
      </w:r>
      <w:r>
        <w:t xml:space="preserve"> </w:t>
      </w:r>
      <w:r>
        <w:t xml:space="preserve">Multivariable survival analysis of overall and progression-free survival, adjusting for final subtype, residual disease, age, stage, and CD8 (adnexal sites only)</w:t>
      </w:r>
      <w:bookmarkEnd w:id="66"/>
    </w:p>
    <w:p>
      <w:pPr>
        <w:pStyle w:val="TableCaption"/>
      </w:pPr>
      <w:r>
        <w:t xml:space="preserve">Multivariable Analyses on Adnexal Sites Only: all covariates except BRCA 1/2</w:t>
      </w:r>
    </w:p>
    <w:tbl>
      <w:tblPr>
        <w:tblStyle w:val="Table"/>
        <w:tblW w:type="pct" w:w="5000.0"/>
        <w:tblLook w:firstRow="1"/>
        <w:tblCaption w:val="Multivariable Analyses on Adnexal Sites Only: all covariates except BRCA 1/2"/>
      </w:tblPr>
      <w:tblGrid>
        <w:gridCol w:w="2407"/>
        <w:gridCol w:w="1397"/>
        <w:gridCol w:w="1164"/>
        <w:gridCol w:w="1863"/>
        <w:gridCol w:w="108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# of events / 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Hazard Ratio (95% CI)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LRT P-value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OS</w:t>
            </w:r>
          </w:p>
        </w:tc>
        <w:tc>
          <w:p>
            <w:pPr>
              <w:pStyle w:val="Compact"/>
              <w:jc w:val="center"/>
            </w:pPr>
            <w:r>
              <w:t xml:space="preserve">238 / 333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Final Subtype (reference</w:t>
            </w:r>
            <w:r>
              <w:t xml:space="preserve"> </w:t>
            </w:r>
            <w:r>
              <w:t xml:space="preserve">group: C1.MES)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0.94 (0.61-1.46)</w:t>
            </w:r>
          </w:p>
        </w:tc>
        <w:tc>
          <w:p>
            <w:pPr>
              <w:pStyle w:val="Compact"/>
              <w:jc w:val="center"/>
            </w:pPr>
            <w:r>
              <w:t xml:space="preserve">0.7935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0.89 (0.61-1.3)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0.81 (0.53-1.24)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Residual Disease (reference</w:t>
            </w:r>
            <w:r>
              <w:t xml:space="preserve"> </w:t>
            </w:r>
            <w:r>
              <w:t xml:space="preserve">group: no residual)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any residual</w:t>
            </w:r>
          </w:p>
        </w:tc>
        <w:tc>
          <w:p>
            <w:pPr>
              <w:pStyle w:val="Compact"/>
              <w:jc w:val="center"/>
            </w:pPr>
            <w:r>
              <w:t xml:space="preserve">1.97 (1.43-2.7)</w:t>
            </w:r>
          </w:p>
        </w:tc>
        <w:tc>
          <w:p>
            <w:pPr>
              <w:pStyle w:val="Compact"/>
              <w:jc w:val="center"/>
            </w:pPr>
            <w:r>
              <w:t xml:space="preserve">&lt; 0.0001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Age</w:t>
            </w:r>
          </w:p>
        </w:tc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1.01 (1-1.03)</w:t>
            </w:r>
          </w:p>
        </w:tc>
        <w:tc>
          <w:p>
            <w:pPr>
              <w:pStyle w:val="Compact"/>
              <w:jc w:val="center"/>
            </w:pPr>
            <w:r>
              <w:t xml:space="preserve">0.0295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Stage (reference group: low)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2.09 (1.31-3.35)</w:t>
            </w:r>
          </w:p>
        </w:tc>
        <w:tc>
          <w:p>
            <w:pPr>
              <w:pStyle w:val="Compact"/>
              <w:jc w:val="center"/>
            </w:pPr>
            <w:r>
              <w:t xml:space="preserve">0.0010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CD8 (reference group: none)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low</w:t>
            </w:r>
          </w:p>
        </w:tc>
        <w:tc>
          <w:p>
            <w:pPr>
              <w:pStyle w:val="Compact"/>
              <w:jc w:val="center"/>
            </w:pPr>
            <w:r>
              <w:t xml:space="preserve">0.96 (0.61-1.52)</w:t>
            </w:r>
          </w:p>
        </w:tc>
        <w:tc>
          <w:p>
            <w:pPr>
              <w:pStyle w:val="Compact"/>
              <w:jc w:val="center"/>
            </w:pPr>
            <w:r>
              <w:t xml:space="preserve">0.0304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med</w:t>
            </w:r>
          </w:p>
        </w:tc>
        <w:tc>
          <w:p>
            <w:pPr>
              <w:pStyle w:val="Compact"/>
              <w:jc w:val="center"/>
            </w:pPr>
            <w:r>
              <w:t xml:space="preserve">0.62 (0.42-0.92)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0.62 (0.37-1.04)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PFS</w:t>
            </w:r>
          </w:p>
        </w:tc>
        <w:tc>
          <w:p>
            <w:pPr>
              <w:pStyle w:val="Compact"/>
              <w:jc w:val="center"/>
            </w:pPr>
            <w:r>
              <w:t xml:space="preserve">261 / 325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Final Subtype (reference</w:t>
            </w:r>
            <w:r>
              <w:t xml:space="preserve"> </w:t>
            </w:r>
            <w:r>
              <w:t xml:space="preserve">group: C1.MES)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0.96 (0.63-1.45)</w:t>
            </w:r>
          </w:p>
        </w:tc>
        <w:tc>
          <w:p>
            <w:pPr>
              <w:pStyle w:val="Compact"/>
              <w:jc w:val="center"/>
            </w:pPr>
            <w:r>
              <w:t xml:space="preserve">0.2631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0.86 (0.61-1.22)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0.67 (0.44-1.02)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Residual Disease (reference</w:t>
            </w:r>
            <w:r>
              <w:t xml:space="preserve"> </w:t>
            </w:r>
            <w:r>
              <w:t xml:space="preserve">group: no residual)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any residual</w:t>
            </w:r>
          </w:p>
        </w:tc>
        <w:tc>
          <w:p>
            <w:pPr>
              <w:pStyle w:val="Compact"/>
              <w:jc w:val="center"/>
            </w:pPr>
            <w:r>
              <w:t xml:space="preserve">1.94 (1.44-2.6)</w:t>
            </w:r>
          </w:p>
        </w:tc>
        <w:tc>
          <w:p>
            <w:pPr>
              <w:pStyle w:val="Compact"/>
              <w:jc w:val="center"/>
            </w:pPr>
            <w:r>
              <w:t xml:space="preserve">&lt; 0.0001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Age</w:t>
            </w:r>
          </w:p>
        </w:tc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1.01 (1-1.02)</w:t>
            </w:r>
          </w:p>
        </w:tc>
        <w:tc>
          <w:p>
            <w:pPr>
              <w:pStyle w:val="Compact"/>
              <w:jc w:val="center"/>
            </w:pPr>
            <w:r>
              <w:t xml:space="preserve">0.2710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Stage (reference group: low)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2.08 (1.36-3.19)</w:t>
            </w:r>
          </w:p>
        </w:tc>
        <w:tc>
          <w:p>
            <w:pPr>
              <w:pStyle w:val="Compact"/>
              <w:jc w:val="center"/>
            </w:pPr>
            <w:r>
              <w:t xml:space="preserve">0.0004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CD8 (reference group: none)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low</w:t>
            </w:r>
          </w:p>
        </w:tc>
        <w:tc>
          <w:p>
            <w:pPr>
              <w:pStyle w:val="Compact"/>
              <w:jc w:val="center"/>
            </w:pPr>
            <w:r>
              <w:t xml:space="preserve">0.91 (0.58-1.44)</w:t>
            </w:r>
          </w:p>
        </w:tc>
        <w:tc>
          <w:p>
            <w:pPr>
              <w:pStyle w:val="Compact"/>
              <w:jc w:val="center"/>
            </w:pPr>
            <w:r>
              <w:t xml:space="preserve">0.0177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med</w:t>
            </w:r>
          </w:p>
        </w:tc>
        <w:tc>
          <w:p>
            <w:pPr>
              <w:pStyle w:val="Compact"/>
              <w:jc w:val="center"/>
            </w:pPr>
            <w:r>
              <w:t xml:space="preserve">0.65 (0.44-0.96)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0.49 (0.29-0.82)</w:t>
            </w:r>
          </w:p>
        </w:tc>
        <w:tc>
          <w:p/>
        </w:tc>
      </w:tr>
    </w:tbl>
    <w:p>
      <w:pPr>
        <w:pStyle w:val="Heading3"/>
      </w:pPr>
      <w:bookmarkStart w:id="67" w:name="X1b3c1d60ce92aa3e7d55f02cce7aee0ba5719e7"/>
      <w:r>
        <w:rPr>
          <w:i/>
        </w:rPr>
        <w:t xml:space="preserve">Table SC16:</w:t>
      </w:r>
      <w:r>
        <w:t xml:space="preserve"> </w:t>
      </w:r>
      <w:r>
        <w:t xml:space="preserve">Multivariable survival analysis of overall and progression-free survival, adjusting for final subtype, BRCA mutation, age, stage, and CD8 (adnexal sites only)</w:t>
      </w:r>
      <w:bookmarkEnd w:id="67"/>
    </w:p>
    <w:p>
      <w:pPr>
        <w:pStyle w:val="TableCaption"/>
      </w:pPr>
      <w:r>
        <w:t xml:space="preserve">Multivariable Analyses on Adnexal Sites Only: all covariates except residual disease</w:t>
      </w:r>
    </w:p>
    <w:tbl>
      <w:tblPr>
        <w:tblStyle w:val="Table"/>
        <w:tblW w:type="pct" w:w="5000.0"/>
        <w:tblLook w:firstRow="1"/>
        <w:tblCaption w:val="Multivariable Analyses on Adnexal Sites Only: all covariates except residual disease"/>
      </w:tblPr>
      <w:tblGrid>
        <w:gridCol w:w="2134"/>
        <w:gridCol w:w="1239"/>
        <w:gridCol w:w="1928"/>
        <w:gridCol w:w="1652"/>
        <w:gridCol w:w="96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# of events / 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Hazard Ratio (95% CI)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LRT P-value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OS</w:t>
            </w:r>
          </w:p>
        </w:tc>
        <w:tc>
          <w:p>
            <w:pPr>
              <w:pStyle w:val="Compact"/>
              <w:jc w:val="center"/>
            </w:pPr>
            <w:r>
              <w:t xml:space="preserve">99 / 131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Final Subtype (reference</w:t>
            </w:r>
            <w:r>
              <w:t xml:space="preserve"> </w:t>
            </w:r>
            <w:r>
              <w:t xml:space="preserve">group: C1.MES)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0.82 (0.45-1.48)</w:t>
            </w:r>
          </w:p>
        </w:tc>
        <w:tc>
          <w:p>
            <w:pPr>
              <w:pStyle w:val="Compact"/>
              <w:jc w:val="center"/>
            </w:pPr>
            <w:r>
              <w:t xml:space="preserve">0.0270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0.55 (0.32-0.95)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0.4 (0.2-0.79)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BRCA 1/2 mutation (reference</w:t>
            </w:r>
            <w:r>
              <w:t xml:space="preserve"> </w:t>
            </w:r>
            <w:r>
              <w:t xml:space="preserve">group: all wildtypes)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BRCA1 mutation</w:t>
            </w:r>
          </w:p>
        </w:tc>
        <w:tc>
          <w:p>
            <w:pPr>
              <w:pStyle w:val="Compact"/>
              <w:jc w:val="center"/>
            </w:pPr>
            <w:r>
              <w:t xml:space="preserve">1.03 (0.56-1.89)</w:t>
            </w:r>
          </w:p>
        </w:tc>
        <w:tc>
          <w:p>
            <w:pPr>
              <w:pStyle w:val="Compact"/>
              <w:jc w:val="center"/>
            </w:pPr>
            <w:r>
              <w:t xml:space="preserve">&lt; 0.0001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BRCA2 mutation</w:t>
            </w:r>
          </w:p>
        </w:tc>
        <w:tc>
          <w:p>
            <w:pPr>
              <w:pStyle w:val="Compact"/>
              <w:jc w:val="center"/>
            </w:pPr>
            <w:r>
              <w:t xml:space="preserve">0.13 (0.04-0.37)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NOS</w:t>
            </w:r>
          </w:p>
        </w:tc>
        <w:tc>
          <w:p>
            <w:pPr>
              <w:pStyle w:val="Compact"/>
              <w:jc w:val="center"/>
            </w:pPr>
            <w:r>
              <w:t xml:space="preserve">1.7 (0.22-13.16)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Age</w:t>
            </w:r>
          </w:p>
        </w:tc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1.03 (1.01-1.06)</w:t>
            </w:r>
          </w:p>
        </w:tc>
        <w:tc>
          <w:p>
            <w:pPr>
              <w:pStyle w:val="Compact"/>
              <w:jc w:val="center"/>
            </w:pPr>
            <w:r>
              <w:t xml:space="preserve">0.0021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Stage (reference group: low)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3.37 (1.57-7.22)</w:t>
            </w:r>
          </w:p>
        </w:tc>
        <w:tc>
          <w:p>
            <w:pPr>
              <w:pStyle w:val="Compact"/>
              <w:jc w:val="center"/>
            </w:pPr>
            <w:r>
              <w:t xml:space="preserve">0.0005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CD8 (reference group: none)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low</w:t>
            </w:r>
          </w:p>
        </w:tc>
        <w:tc>
          <w:p>
            <w:pPr>
              <w:pStyle w:val="Compact"/>
              <w:jc w:val="center"/>
            </w:pPr>
            <w:r>
              <w:t xml:space="preserve">0.81 (0.38-1.74)</w:t>
            </w:r>
          </w:p>
        </w:tc>
        <w:tc>
          <w:p>
            <w:pPr>
              <w:pStyle w:val="Compact"/>
              <w:jc w:val="center"/>
            </w:pPr>
            <w:r>
              <w:t xml:space="preserve">0.0317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med</w:t>
            </w:r>
          </w:p>
        </w:tc>
        <w:tc>
          <w:p>
            <w:pPr>
              <w:pStyle w:val="Compact"/>
              <w:jc w:val="center"/>
            </w:pPr>
            <w:r>
              <w:t xml:space="preserve">0.53 (0.28-0.98)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0.29 (0.12-0.7)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PFS</w:t>
            </w:r>
          </w:p>
        </w:tc>
        <w:tc>
          <w:p>
            <w:pPr>
              <w:pStyle w:val="Compact"/>
              <w:jc w:val="center"/>
            </w:pPr>
            <w:r>
              <w:t xml:space="preserve">113 / 129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Final Subtype (reference</w:t>
            </w:r>
            <w:r>
              <w:t xml:space="preserve"> </w:t>
            </w:r>
            <w:r>
              <w:t xml:space="preserve">group: C1.MES)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1.45 (0.83-2.54)</w:t>
            </w:r>
          </w:p>
        </w:tc>
        <w:tc>
          <w:p>
            <w:pPr>
              <w:pStyle w:val="Compact"/>
              <w:jc w:val="center"/>
            </w:pPr>
            <w:r>
              <w:t xml:space="preserve">0.0751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0.87 (0.53-1.43)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0.58 (0.29-1.14)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BRCA 1/2 mutation (reference</w:t>
            </w:r>
            <w:r>
              <w:t xml:space="preserve"> </w:t>
            </w:r>
            <w:r>
              <w:t xml:space="preserve">group: all wildtypes)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BRCA1 mutation</w:t>
            </w:r>
          </w:p>
        </w:tc>
        <w:tc>
          <w:p>
            <w:pPr>
              <w:pStyle w:val="Compact"/>
              <w:jc w:val="center"/>
            </w:pPr>
            <w:r>
              <w:t xml:space="preserve">0.67 (0.37-1.22)</w:t>
            </w:r>
          </w:p>
        </w:tc>
        <w:tc>
          <w:p>
            <w:pPr>
              <w:pStyle w:val="Compact"/>
              <w:jc w:val="center"/>
            </w:pPr>
            <w:r>
              <w:t xml:space="preserve">0.0300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BRCA2 mutation</w:t>
            </w:r>
          </w:p>
        </w:tc>
        <w:tc>
          <w:p>
            <w:pPr>
              <w:pStyle w:val="Compact"/>
              <w:jc w:val="center"/>
            </w:pPr>
            <w:r>
              <w:t xml:space="preserve">0.38 (0.18-0.79)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NOS</w:t>
            </w:r>
          </w:p>
        </w:tc>
        <w:tc>
          <w:p>
            <w:pPr>
              <w:pStyle w:val="Compact"/>
              <w:jc w:val="center"/>
            </w:pPr>
            <w:r>
              <w:t xml:space="preserve">0.84 (0.11-6.39)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Age</w:t>
            </w:r>
          </w:p>
        </w:tc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1.01 (1-1.03)</w:t>
            </w:r>
          </w:p>
        </w:tc>
        <w:tc>
          <w:p>
            <w:pPr>
              <w:pStyle w:val="Compact"/>
              <w:jc w:val="center"/>
            </w:pPr>
            <w:r>
              <w:t xml:space="preserve">0.1404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Stage (reference group: low)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3.64 (1.8-7.36)</w:t>
            </w:r>
          </w:p>
        </w:tc>
        <w:tc>
          <w:p>
            <w:pPr>
              <w:pStyle w:val="Compact"/>
              <w:jc w:val="center"/>
            </w:pPr>
            <w:r>
              <w:t xml:space="preserve">0.0001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CD8 (reference group: none)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low</w:t>
            </w:r>
          </w:p>
        </w:tc>
        <w:tc>
          <w:p>
            <w:pPr>
              <w:pStyle w:val="Compact"/>
              <w:jc w:val="center"/>
            </w:pPr>
            <w:r>
              <w:t xml:space="preserve">1.1 (0.53-2.32)</w:t>
            </w:r>
          </w:p>
        </w:tc>
        <w:tc>
          <w:p>
            <w:pPr>
              <w:pStyle w:val="Compact"/>
              <w:jc w:val="center"/>
            </w:pPr>
            <w:r>
              <w:t xml:space="preserve">0.0481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med</w:t>
            </w:r>
          </w:p>
        </w:tc>
        <w:tc>
          <w:p>
            <w:pPr>
              <w:pStyle w:val="Compact"/>
              <w:jc w:val="center"/>
            </w:pPr>
            <w:r>
              <w:t xml:space="preserve">0.66 (0.37-1.18)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0.37 (0.16-0.85)</w:t>
            </w:r>
          </w:p>
        </w:tc>
        <w:tc>
          <w:p/>
        </w:tc>
      </w:tr>
    </w:tbl>
    <w:p>
      <w:pPr>
        <w:pStyle w:val="Heading3"/>
      </w:pPr>
      <w:bookmarkStart w:id="68" w:name="X41a1dd83545583d108f1a9f1698556d0d926c0f"/>
      <w:r>
        <w:rPr>
          <w:i/>
        </w:rPr>
        <w:t xml:space="preserve">Table SC17:</w:t>
      </w:r>
      <w:r>
        <w:t xml:space="preserve"> </w:t>
      </w:r>
      <w:r>
        <w:t xml:space="preserve">Multivariable survival analysis of overall and progression-free survival, adjusting for final subtype, BRCA mutation, age and stage (adnexal sites only)</w:t>
      </w:r>
      <w:bookmarkEnd w:id="68"/>
    </w:p>
    <w:p>
      <w:pPr>
        <w:pStyle w:val="TableCaption"/>
      </w:pPr>
      <w:r>
        <w:t xml:space="preserve">Multivariable Analyses on Adnexal Sites Only: all covariates except CD8</w:t>
      </w:r>
    </w:p>
    <w:tbl>
      <w:tblPr>
        <w:tblStyle w:val="Table"/>
        <w:tblW w:type="pct" w:w="5000.0"/>
        <w:tblLook w:firstRow="1"/>
        <w:tblCaption w:val="Multivariable Analyses on Adnexal Sites Only: all covariates except CD8"/>
      </w:tblPr>
      <w:tblGrid>
        <w:gridCol w:w="2134"/>
        <w:gridCol w:w="1239"/>
        <w:gridCol w:w="1928"/>
        <w:gridCol w:w="1652"/>
        <w:gridCol w:w="96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# of events / 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Hazard Ratio (95% CI)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LRT P-value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OS</w:t>
            </w:r>
          </w:p>
        </w:tc>
        <w:tc>
          <w:p>
            <w:pPr>
              <w:pStyle w:val="Compact"/>
              <w:jc w:val="center"/>
            </w:pPr>
            <w:r>
              <w:t xml:space="preserve">186 / 231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Final Subtype (reference</w:t>
            </w:r>
            <w:r>
              <w:t xml:space="preserve"> </w:t>
            </w:r>
            <w:r>
              <w:t xml:space="preserve">group: C1.MES)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1.03 (0.68-1.55)</w:t>
            </w:r>
          </w:p>
        </w:tc>
        <w:tc>
          <w:p>
            <w:pPr>
              <w:pStyle w:val="Compact"/>
              <w:jc w:val="center"/>
            </w:pPr>
            <w:r>
              <w:t xml:space="preserve">0.1349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0.81 (0.54-1.21)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1.41 (0.87-2.29)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Residual Disease (reference</w:t>
            </w:r>
            <w:r>
              <w:t xml:space="preserve"> </w:t>
            </w:r>
            <w:r>
              <w:t xml:space="preserve">group: no residual)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any residual</w:t>
            </w:r>
          </w:p>
        </w:tc>
        <w:tc>
          <w:p>
            <w:pPr>
              <w:pStyle w:val="Compact"/>
              <w:jc w:val="center"/>
            </w:pPr>
            <w:r>
              <w:t xml:space="preserve">2.99 (2.07-4.31)</w:t>
            </w:r>
          </w:p>
        </w:tc>
        <w:tc>
          <w:p>
            <w:pPr>
              <w:pStyle w:val="Compact"/>
              <w:jc w:val="center"/>
            </w:pPr>
            <w:r>
              <w:t xml:space="preserve">&lt; 0.0001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BRCA 1/2 mutation (reference</w:t>
            </w:r>
            <w:r>
              <w:t xml:space="preserve"> </w:t>
            </w:r>
            <w:r>
              <w:t xml:space="preserve">group: all wildtypes)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BRCA1 mutation</w:t>
            </w:r>
          </w:p>
        </w:tc>
        <w:tc>
          <w:p>
            <w:pPr>
              <w:pStyle w:val="Compact"/>
              <w:jc w:val="center"/>
            </w:pPr>
            <w:r>
              <w:t xml:space="preserve">0.72 (0.47-1.1)</w:t>
            </w:r>
          </w:p>
        </w:tc>
        <w:tc>
          <w:p>
            <w:pPr>
              <w:pStyle w:val="Compact"/>
              <w:jc w:val="center"/>
            </w:pPr>
            <w:r>
              <w:t xml:space="preserve">0.0015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BRCA2 mutation</w:t>
            </w:r>
          </w:p>
        </w:tc>
        <w:tc>
          <w:p>
            <w:pPr>
              <w:pStyle w:val="Compact"/>
              <w:jc w:val="center"/>
            </w:pPr>
            <w:r>
              <w:t xml:space="preserve">0.36 (0.2-0.65)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NOS</w:t>
            </w:r>
          </w:p>
        </w:tc>
        <w:tc>
          <w:p>
            <w:pPr>
              <w:pStyle w:val="Compact"/>
              <w:jc w:val="center"/>
            </w:pPr>
            <w:r>
              <w:t xml:space="preserve">0.84 (0.11-6.2)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Age</w:t>
            </w:r>
          </w:p>
        </w:tc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1.03 (1.01-1.04)</w:t>
            </w:r>
          </w:p>
        </w:tc>
        <w:tc>
          <w:p>
            <w:pPr>
              <w:pStyle w:val="Compact"/>
              <w:jc w:val="center"/>
            </w:pPr>
            <w:r>
              <w:t xml:space="preserve">0.0003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Stage (reference group: low)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2.39 (1.27-4.48)</w:t>
            </w:r>
          </w:p>
        </w:tc>
        <w:tc>
          <w:p>
            <w:pPr>
              <w:pStyle w:val="Compact"/>
              <w:jc w:val="center"/>
            </w:pPr>
            <w:r>
              <w:t xml:space="preserve">0.0033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PFS</w:t>
            </w:r>
          </w:p>
        </w:tc>
        <w:tc>
          <w:p>
            <w:pPr>
              <w:pStyle w:val="Compact"/>
              <w:jc w:val="center"/>
            </w:pPr>
            <w:r>
              <w:t xml:space="preserve">204 / 229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Final Subtype (reference</w:t>
            </w:r>
            <w:r>
              <w:t xml:space="preserve"> </w:t>
            </w:r>
            <w:r>
              <w:t xml:space="preserve">group: C1.MES)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C2.IMM</w:t>
            </w:r>
          </w:p>
        </w:tc>
        <w:tc>
          <w:p>
            <w:pPr>
              <w:pStyle w:val="Compact"/>
              <w:jc w:val="center"/>
            </w:pPr>
            <w:r>
              <w:t xml:space="preserve">1.28 (0.86-1.89)</w:t>
            </w:r>
          </w:p>
        </w:tc>
        <w:tc>
          <w:p>
            <w:pPr>
              <w:pStyle w:val="Compact"/>
              <w:jc w:val="center"/>
            </w:pPr>
            <w:r>
              <w:t xml:space="preserve">0.5105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C4.DIF</w:t>
            </w:r>
          </w:p>
        </w:tc>
        <w:tc>
          <w:p>
            <w:pPr>
              <w:pStyle w:val="Compact"/>
              <w:jc w:val="center"/>
            </w:pPr>
            <w:r>
              <w:t xml:space="preserve">1.02 (0.7-1.5)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C5.PRO</w:t>
            </w:r>
          </w:p>
        </w:tc>
        <w:tc>
          <w:p>
            <w:pPr>
              <w:pStyle w:val="Compact"/>
              <w:jc w:val="center"/>
            </w:pPr>
            <w:r>
              <w:t xml:space="preserve">1.24 (0.78-1.99)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Residual Disease (reference</w:t>
            </w:r>
            <w:r>
              <w:t xml:space="preserve"> </w:t>
            </w:r>
            <w:r>
              <w:t xml:space="preserve">group: no residual)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any residual</w:t>
            </w:r>
          </w:p>
        </w:tc>
        <w:tc>
          <w:p>
            <w:pPr>
              <w:pStyle w:val="Compact"/>
              <w:jc w:val="center"/>
            </w:pPr>
            <w:r>
              <w:t xml:space="preserve">2.21 (1.58-3.09)</w:t>
            </w:r>
          </w:p>
        </w:tc>
        <w:tc>
          <w:p>
            <w:pPr>
              <w:pStyle w:val="Compact"/>
              <w:jc w:val="center"/>
            </w:pPr>
            <w:r>
              <w:t xml:space="preserve">&lt; 0.0001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BRCA 1/2 mutation (reference</w:t>
            </w:r>
            <w:r>
              <w:t xml:space="preserve"> </w:t>
            </w:r>
            <w:r>
              <w:t xml:space="preserve">group: all wildtypes)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BRCA1 mutation</w:t>
            </w:r>
          </w:p>
        </w:tc>
        <w:tc>
          <w:p>
            <w:pPr>
              <w:pStyle w:val="Compact"/>
              <w:jc w:val="center"/>
            </w:pPr>
            <w:r>
              <w:t xml:space="preserve">0.64 (0.42-0.97)</w:t>
            </w:r>
          </w:p>
        </w:tc>
        <w:tc>
          <w:p>
            <w:pPr>
              <w:pStyle w:val="Compact"/>
              <w:jc w:val="center"/>
            </w:pPr>
            <w:r>
              <w:t xml:space="preserve">0.0075</w:t>
            </w:r>
          </w:p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BRCA2 mutation</w:t>
            </w:r>
          </w:p>
        </w:tc>
        <w:tc>
          <w:p>
            <w:pPr>
              <w:pStyle w:val="Compact"/>
              <w:jc w:val="center"/>
            </w:pPr>
            <w:r>
              <w:t xml:space="preserve">0.48 (0.28-0.8)</w:t>
            </w:r>
          </w:p>
        </w:tc>
        <w:tc>
          <w:p/>
        </w:tc>
      </w:tr>
      <w:tr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pathogenic NOS</w:t>
            </w:r>
          </w:p>
        </w:tc>
        <w:tc>
          <w:p>
            <w:pPr>
              <w:pStyle w:val="Compact"/>
              <w:jc w:val="center"/>
            </w:pPr>
            <w:r>
              <w:t xml:space="preserve">0.46 (0.06-3.38)</w:t>
            </w:r>
          </w:p>
        </w:tc>
        <w:tc>
          <w:p/>
        </w:tc>
      </w:tr>
      <w:tr>
        <w:tc>
          <w:p>
            <w:pPr>
              <w:pStyle w:val="Compact"/>
              <w:jc w:val="center"/>
            </w:pPr>
            <w:r>
              <w:t xml:space="preserve">Age</w:t>
            </w:r>
          </w:p>
        </w:tc>
        <w:tc>
          <w:p/>
        </w:tc>
        <w:tc>
          <w:p/>
        </w:tc>
        <w:tc>
          <w:p>
            <w:pPr>
              <w:pStyle w:val="Compact"/>
              <w:jc w:val="center"/>
            </w:pPr>
            <w:r>
              <w:t xml:space="preserve">1.01 (1-1.03)</w:t>
            </w:r>
          </w:p>
        </w:tc>
        <w:tc>
          <w:p>
            <w:pPr>
              <w:pStyle w:val="Compact"/>
              <w:jc w:val="center"/>
            </w:pPr>
            <w:r>
              <w:t xml:space="preserve">0.0647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Stage (reference group: low)</w:t>
            </w:r>
          </w:p>
        </w:tc>
        <w:tc>
          <w:p/>
        </w:tc>
        <w:tc>
          <w:p>
            <w:pPr>
              <w:pStyle w:val="Compact"/>
              <w:jc w:val="center"/>
            </w:pPr>
            <w:r>
              <w:t xml:space="preserve">high</w:t>
            </w:r>
          </w:p>
        </w:tc>
        <w:tc>
          <w:p>
            <w:pPr>
              <w:pStyle w:val="Compact"/>
              <w:jc w:val="center"/>
            </w:pPr>
            <w:r>
              <w:t xml:space="preserve">2.96 (1.65-5.3)</w:t>
            </w:r>
          </w:p>
        </w:tc>
        <w:tc>
          <w:p>
            <w:pPr>
              <w:pStyle w:val="Compact"/>
              <w:jc w:val="center"/>
            </w:pPr>
            <w:r>
              <w:t xml:space="preserve">0.0001</w:t>
            </w:r>
          </w:p>
        </w:tc>
      </w:tr>
    </w:tbl>
    <w:p>
      <w:pPr>
        <w:pStyle w:val="Heading1"/>
      </w:pPr>
      <w:bookmarkStart w:id="69" w:name="c.4-genes-in-the-classifier"/>
      <w:r>
        <w:t xml:space="preserve">C.4 Genes in the Classifier</w:t>
      </w:r>
      <w:bookmarkEnd w:id="69"/>
    </w:p>
    <w:p>
      <w:pPr>
        <w:pStyle w:val="Heading2"/>
      </w:pPr>
      <w:bookmarkStart w:id="70" w:name="network-diagrams"/>
      <w:r>
        <w:t xml:space="preserve">Network Diagrams</w:t>
      </w:r>
      <w:bookmarkEnd w:id="70"/>
    </w:p>
    <w:p>
      <w:pPr>
        <w:pStyle w:val="Heading3"/>
      </w:pPr>
      <w:bookmarkStart w:id="71" w:name="combined-pathways"/>
      <w:r>
        <w:t xml:space="preserve">Combined Pathways</w:t>
      </w:r>
      <w:bookmarkEnd w:id="71"/>
    </w:p>
    <w:p>
      <w:pPr>
        <w:pStyle w:val="FirstParagraph"/>
      </w:pPr>
      <w:r>
        <w:drawing>
          <wp:inline>
            <wp:extent cx="5943600" cy="742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C_files/figure-docx/pathways_graph_combine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3" w:name="pathways-by-subtype"/>
      <w:r>
        <w:t xml:space="preserve">Pathways by Subtype</w:t>
      </w:r>
      <w:bookmarkEnd w:id="73"/>
    </w:p>
    <w:p>
      <w:pPr>
        <w:pStyle w:val="FirstParagraph"/>
      </w:pPr>
      <w:r>
        <w:drawing>
          <wp:inline>
            <wp:extent cx="5943600" cy="742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C_files/figure-docx/pathways_graph_by_subtyp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5" w:name="pathways-by-direction"/>
      <w:r>
        <w:t xml:space="preserve">Pathways by Direction</w:t>
      </w:r>
      <w:bookmarkEnd w:id="75"/>
    </w:p>
    <w:p>
      <w:pPr>
        <w:pStyle w:val="FirstParagraph"/>
      </w:pPr>
      <w:r>
        <w:drawing>
          <wp:inline>
            <wp:extent cx="5943600" cy="742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C_files/figure-docx/pathways_graph_by_direc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7" w:name="heatmap"/>
      <w:r>
        <w:t xml:space="preserve">Heatmap</w:t>
      </w:r>
      <w:bookmarkEnd w:id="77"/>
    </w:p>
    <w:p>
      <w:pPr>
        <w:pStyle w:val="FirstParagraph"/>
      </w:pPr>
      <w:r>
        <w:drawing>
          <wp:inline>
            <wp:extent cx="5943600" cy="742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C_files/figure-docx/pathway_heatma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9" w:name="X0e462923ba7e98c1dfa6ed2e7d1ec22b74f85f9"/>
      <w:r>
        <w:t xml:space="preserve">Gene Expression Distribution on Top Genes</w:t>
      </w:r>
      <w:bookmarkEnd w:id="79"/>
    </w:p>
    <w:p>
      <w:pPr>
        <w:pStyle w:val="Heading3"/>
      </w:pPr>
      <w:bookmarkStart w:id="80" w:name="all-array"/>
      <w:r>
        <w:t xml:space="preserve">All-Array</w:t>
      </w:r>
      <w:bookmarkEnd w:id="80"/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C_files/figure-docx/gene_ex_a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2" w:name="nanostring"/>
      <w:r>
        <w:t xml:space="preserve">NanoString</w:t>
      </w:r>
      <w:bookmarkEnd w:id="82"/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C_files/figure-docx/gene_ex_n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4" w:name="tcga"/>
      <w:r>
        <w:t xml:space="preserve">TCGA</w:t>
      </w:r>
      <w:bookmarkEnd w:id="84"/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upp_C_files/figure-docx/gene_ex_tcg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72911" w:rsidRPr="00455398"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CD2DE"/>
    <w:multiLevelType w:val="multilevel"/>
    <w:tmpl w:val="41B4E7D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9692C69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455398"/>
    <w:pPr>
      <w:spacing w:before="180" w:after="180"/>
    </w:pPr>
    <w:rPr>
      <w:rFonts w:ascii="Arial" w:hAnsi="Arial" w:cs="Arial"/>
    </w:rPr>
  </w:style>
  <w:style w:type="paragraph" w:styleId="Heading1">
    <w:name w:val="heading 1"/>
    <w:basedOn w:val="Normal"/>
    <w:next w:val="BodyText"/>
    <w:uiPriority w:val="9"/>
    <w:qFormat/>
    <w:rsid w:val="006A2E20"/>
    <w:pPr>
      <w:keepNext/>
      <w:keepLines/>
      <w:spacing w:before="0" w:after="0"/>
      <w:outlineLvl w:val="0"/>
    </w:pPr>
    <w:rPr>
      <w:rFonts w:eastAsiaTheme="majorEastAsia"/>
      <w:b/>
      <w:bCs/>
    </w:rPr>
  </w:style>
  <w:style w:type="paragraph" w:styleId="Heading2">
    <w:name w:val="heading 2"/>
    <w:basedOn w:val="Normal"/>
    <w:next w:val="BodyText"/>
    <w:uiPriority w:val="9"/>
    <w:unhideWhenUsed/>
    <w:qFormat/>
    <w:rsid w:val="00455398"/>
    <w:pPr>
      <w:keepNext/>
      <w:keepLines/>
      <w:spacing w:before="200" w:after="0"/>
      <w:outlineLvl w:val="1"/>
    </w:pPr>
    <w:rPr>
      <w:rFonts w:eastAsiaTheme="majorEastAsia"/>
      <w:b/>
      <w:bCs/>
    </w:rPr>
  </w:style>
  <w:style w:type="paragraph" w:styleId="Heading3">
    <w:name w:val="heading 3"/>
    <w:basedOn w:val="Normal"/>
    <w:next w:val="BodyText"/>
    <w:uiPriority w:val="9"/>
    <w:unhideWhenUsed/>
    <w:qFormat/>
    <w:rsid w:val="00455398"/>
    <w:pPr>
      <w:keepNext/>
      <w:keepLines/>
      <w:spacing w:before="200" w:after="0"/>
      <w:outlineLvl w:val="2"/>
    </w:pPr>
    <w:rPr>
      <w:rFonts w:eastAsiaTheme="majorEastAsia"/>
      <w:b/>
      <w:bCs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</w:style>
  <w:style w:type="paragraph" w:customStyle="1" w:styleId="FirstParagraph">
    <w:name w:val="First Paragraph"/>
    <w:basedOn w:val="BodyText"/>
    <w:next w:val="BodyText"/>
    <w:qFormat/>
    <w:rsid w:val="00455398"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0361D5"/>
    <w:pPr>
      <w:keepNext/>
      <w:keepLines/>
      <w:spacing w:before="480" w:after="0" w:line="360" w:lineRule="auto"/>
    </w:pPr>
    <w:rPr>
      <w:rFonts w:eastAsiaTheme="majorEastAsia"/>
      <w:b/>
      <w:bCs/>
      <w:i/>
      <w:sz w:val="28"/>
      <w:szCs w:val="36"/>
    </w:rPr>
  </w:style>
  <w:style w:type="paragraph" w:styleId="Subtitle">
    <w:name w:val="Subtitle"/>
    <w:basedOn w:val="Title"/>
    <w:next w:val="BodyText"/>
    <w:qFormat/>
    <w:pPr>
      <w:spacing w:before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60" Target="media/rId60.png" /><Relationship Type="http://schemas.openxmlformats.org/officeDocument/2006/relationships/image" Id="rId59" Target="media/rId59.png" /><Relationship Type="http://schemas.openxmlformats.org/officeDocument/2006/relationships/image" Id="rId26" Target="media/rId26.png" /><Relationship Type="http://schemas.openxmlformats.org/officeDocument/2006/relationships/image" Id="rId78" Target="media/rId78.png" /><Relationship Type="http://schemas.openxmlformats.org/officeDocument/2006/relationships/image" Id="rId76" Target="media/rId76.png" /><Relationship Type="http://schemas.openxmlformats.org/officeDocument/2006/relationships/image" Id="rId74" Target="media/rId74.png" /><Relationship Type="http://schemas.openxmlformats.org/officeDocument/2006/relationships/image" Id="rId72" Target="media/rId7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C: Molecular Subtypes Covariates</dc:title>
  <dc:creator/>
  <cp:keywords/>
  <dcterms:created xsi:type="dcterms:W3CDTF">2019-01-05T00:12:27Z</dcterms:created>
  <dcterms:modified xsi:type="dcterms:W3CDTF">2019-01-05T00:12:27Z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