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99" w:rsidRPr="0086435F" w:rsidRDefault="00035A99" w:rsidP="00035A99">
      <w:pPr>
        <w:spacing w:after="0" w:line="240" w:lineRule="auto"/>
        <w:outlineLvl w:val="0"/>
        <w:rPr>
          <w:b/>
          <w:sz w:val="16"/>
          <w:szCs w:val="16"/>
        </w:rPr>
      </w:pPr>
      <w:bookmarkStart w:id="0" w:name="_GoBack"/>
      <w:bookmarkEnd w:id="0"/>
      <w:r w:rsidRPr="0086435F">
        <w:rPr>
          <w:rFonts w:eastAsia="Times New Roman" w:cs="Times New Roman"/>
          <w:b/>
          <w:bCs/>
          <w:noProof/>
          <w:color w:val="000000"/>
          <w:sz w:val="16"/>
          <w:szCs w:val="16"/>
        </w:rPr>
        <w:t>Supp</w:t>
      </w:r>
      <w:r w:rsidR="00674842">
        <w:rPr>
          <w:rFonts w:eastAsia="Times New Roman" w:cs="Times New Roman"/>
          <w:b/>
          <w:bCs/>
          <w:noProof/>
          <w:color w:val="000000"/>
          <w:sz w:val="16"/>
          <w:szCs w:val="16"/>
        </w:rPr>
        <w:t>orting</w:t>
      </w:r>
      <w:r w:rsidRPr="0086435F">
        <w:rPr>
          <w:rFonts w:eastAsia="Times New Roman" w:cs="Times New Roman"/>
          <w:b/>
          <w:bCs/>
          <w:noProof/>
          <w:color w:val="000000"/>
          <w:sz w:val="16"/>
          <w:szCs w:val="16"/>
        </w:rPr>
        <w:t xml:space="preserve"> Table 1: Primers for PCR amplification of the POLE exonuclease domain</w:t>
      </w:r>
    </w:p>
    <w:tbl>
      <w:tblPr>
        <w:tblW w:w="5892" w:type="dxa"/>
        <w:tblInd w:w="93" w:type="dxa"/>
        <w:tblLook w:val="04A0" w:firstRow="1" w:lastRow="0" w:firstColumn="1" w:lastColumn="0" w:noHBand="0" w:noVBand="1"/>
      </w:tblPr>
      <w:tblGrid>
        <w:gridCol w:w="620"/>
        <w:gridCol w:w="2127"/>
        <w:gridCol w:w="2155"/>
        <w:gridCol w:w="990"/>
      </w:tblGrid>
      <w:tr w:rsidR="00035A99" w:rsidRPr="0086435F" w:rsidTr="00D35655">
        <w:trPr>
          <w:trHeight w:val="255"/>
        </w:trPr>
        <w:tc>
          <w:tcPr>
            <w:tcW w:w="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Exon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Reverse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Size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(bp)</w:t>
            </w:r>
          </w:p>
        </w:tc>
      </w:tr>
      <w:tr w:rsidR="00035A99" w:rsidRPr="0086435F" w:rsidTr="00D35655">
        <w:trPr>
          <w:trHeight w:val="240"/>
        </w:trPr>
        <w:tc>
          <w:tcPr>
            <w:tcW w:w="6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sz w:val="16"/>
                <w:szCs w:val="16"/>
              </w:rPr>
              <w:t>GGGTCCTTCTCCCAGCTCTA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86435F">
              <w:rPr>
                <w:color w:val="000000" w:themeColor="text1"/>
                <w:sz w:val="16"/>
                <w:szCs w:val="16"/>
              </w:rPr>
              <w:t>GTACAGCTGGAGGTCGGAAC</w:t>
            </w:r>
          </w:p>
        </w:tc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ahoma"/>
                <w:sz w:val="16"/>
                <w:szCs w:val="16"/>
              </w:rPr>
            </w:pPr>
            <w:r w:rsidRPr="0086435F">
              <w:rPr>
                <w:rFonts w:eastAsia="Times New Roman" w:cs="Tahoma"/>
                <w:sz w:val="16"/>
                <w:szCs w:val="16"/>
              </w:rPr>
              <w:t>400</w:t>
            </w:r>
          </w:p>
        </w:tc>
      </w:tr>
      <w:tr w:rsidR="00035A99" w:rsidRPr="0086435F" w:rsidTr="00D35655">
        <w:trPr>
          <w:trHeight w:val="240"/>
        </w:trPr>
        <w:tc>
          <w:tcPr>
            <w:tcW w:w="62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CCGTCTCTGGCAGAAAAGAC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CCACACACAGAGCGTCTCTT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ahoma"/>
                <w:sz w:val="16"/>
                <w:szCs w:val="16"/>
              </w:rPr>
              <w:t>423</w:t>
            </w:r>
          </w:p>
        </w:tc>
      </w:tr>
      <w:tr w:rsidR="00035A99" w:rsidRPr="0086435F" w:rsidTr="00D35655">
        <w:trPr>
          <w:trHeight w:val="240"/>
        </w:trPr>
        <w:tc>
          <w:tcPr>
            <w:tcW w:w="62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GGGCAGGTCAGGCTCTAATG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AACATGAGGCTGCTGCTTCT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ahoma"/>
                <w:sz w:val="16"/>
                <w:szCs w:val="16"/>
              </w:rPr>
              <w:t>369</w:t>
            </w:r>
          </w:p>
        </w:tc>
      </w:tr>
      <w:tr w:rsidR="00035A99" w:rsidRPr="0086435F" w:rsidTr="00D35655">
        <w:trPr>
          <w:trHeight w:val="240"/>
        </w:trPr>
        <w:tc>
          <w:tcPr>
            <w:tcW w:w="62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GCTGCCATACTCTTGGGTGA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ATTTGAGAGGGAGGGCGTTG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ahoma"/>
                <w:color w:val="000000"/>
                <w:sz w:val="16"/>
                <w:szCs w:val="16"/>
              </w:rPr>
              <w:t>445</w:t>
            </w:r>
          </w:p>
        </w:tc>
      </w:tr>
      <w:tr w:rsidR="00035A99" w:rsidRPr="0086435F" w:rsidTr="00D35655">
        <w:trPr>
          <w:trHeight w:val="240"/>
        </w:trPr>
        <w:tc>
          <w:tcPr>
            <w:tcW w:w="62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sz w:val="16"/>
                <w:szCs w:val="16"/>
              </w:rPr>
              <w:t>CTACACCATGTGGGGCCTTG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sz w:val="16"/>
                <w:szCs w:val="16"/>
              </w:rPr>
              <w:t>CAGTAAGGAGACCGGCACAG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ahoma"/>
                <w:color w:val="000000"/>
                <w:sz w:val="16"/>
                <w:szCs w:val="16"/>
              </w:rPr>
              <w:t>474</w:t>
            </w:r>
          </w:p>
        </w:tc>
      </w:tr>
      <w:tr w:rsidR="00035A99" w:rsidRPr="0086435F" w:rsidTr="00D35655">
        <w:trPr>
          <w:trHeight w:val="240"/>
        </w:trPr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Courier New"/>
                <w:color w:val="000000" w:themeColor="text1"/>
                <w:sz w:val="16"/>
                <w:szCs w:val="16"/>
              </w:rPr>
              <w:t>CACACCAGGGCCAGAGAATT</w:t>
            </w:r>
          </w:p>
        </w:tc>
        <w:tc>
          <w:tcPr>
            <w:tcW w:w="215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3E304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Courier New"/>
                <w:color w:val="000000" w:themeColor="text1"/>
                <w:sz w:val="16"/>
                <w:szCs w:val="16"/>
              </w:rPr>
              <w:t>CGGGACACACGTGTTTTGTC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035A99" w:rsidRPr="0086435F" w:rsidRDefault="00035A99" w:rsidP="00D35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ahoma"/>
                <w:color w:val="000000"/>
                <w:sz w:val="16"/>
                <w:szCs w:val="16"/>
              </w:rPr>
              <w:t>431</w:t>
            </w:r>
          </w:p>
        </w:tc>
      </w:tr>
      <w:tr w:rsidR="00D35655" w:rsidRPr="0086435F" w:rsidTr="003E3045">
        <w:trPr>
          <w:trHeight w:val="240"/>
        </w:trPr>
        <w:tc>
          <w:tcPr>
            <w:tcW w:w="589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655" w:rsidRPr="0086435F" w:rsidRDefault="00D35655" w:rsidP="00D35655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6435F">
              <w:rPr>
                <w:rFonts w:eastAsia="Times New Roman" w:cs="Times New Roman"/>
                <w:color w:val="000000"/>
                <w:sz w:val="16"/>
                <w:szCs w:val="16"/>
              </w:rPr>
              <w:t>60°C annealing temperature.</w:t>
            </w:r>
          </w:p>
        </w:tc>
      </w:tr>
    </w:tbl>
    <w:p w:rsidR="00D43A40" w:rsidRDefault="00D43A40"/>
    <w:tbl>
      <w:tblPr>
        <w:tblW w:w="927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56"/>
        <w:gridCol w:w="1276"/>
        <w:gridCol w:w="630"/>
        <w:gridCol w:w="540"/>
        <w:gridCol w:w="810"/>
        <w:gridCol w:w="1349"/>
        <w:gridCol w:w="720"/>
        <w:gridCol w:w="540"/>
        <w:gridCol w:w="900"/>
        <w:gridCol w:w="113"/>
        <w:gridCol w:w="236"/>
      </w:tblGrid>
      <w:tr w:rsidR="00D43A40" w:rsidTr="00D43A40">
        <w:trPr>
          <w:trHeight w:val="20"/>
        </w:trPr>
        <w:tc>
          <w:tcPr>
            <w:tcW w:w="903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43A40" w:rsidRDefault="009F06CC" w:rsidP="00674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</w:t>
            </w:r>
            <w:r w:rsidR="0067484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orting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Table 2</w:t>
            </w:r>
            <w:r w:rsidR="00D43A4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: </w:t>
            </w:r>
            <w:proofErr w:type="spellStart"/>
            <w:r w:rsidR="00D43A4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Stepdown</w:t>
            </w:r>
            <w:proofErr w:type="spellEnd"/>
            <w:r w:rsidR="00D43A4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final multivariable analysis of progression-free and overall survival in endometrioid EC</w:t>
            </w:r>
          </w:p>
        </w:tc>
        <w:tc>
          <w:tcPr>
            <w:tcW w:w="236" w:type="dxa"/>
            <w:noWrap/>
            <w:vAlign w:val="bottom"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43A40" w:rsidTr="00D43A40">
        <w:trPr>
          <w:gridAfter w:val="2"/>
          <w:wAfter w:w="349" w:type="dxa"/>
          <w:trHeight w:val="20"/>
        </w:trPr>
        <w:tc>
          <w:tcPr>
            <w:tcW w:w="215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32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Progression-free survival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Overall Survival</w:t>
            </w:r>
          </w:p>
        </w:tc>
      </w:tr>
      <w:tr w:rsidR="00D43A40" w:rsidTr="00D43A40">
        <w:trPr>
          <w:gridAfter w:val="2"/>
          <w:wAfter w:w="349" w:type="dxa"/>
          <w:trHeight w:val="195"/>
        </w:trPr>
        <w:tc>
          <w:tcPr>
            <w:tcW w:w="903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Hazard ratio (95% CI)</w:t>
            </w: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Std. Error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p 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Hazard ratio (95% CI)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Std. Error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p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value</w:t>
            </w:r>
          </w:p>
        </w:tc>
      </w:tr>
      <w:tr w:rsidR="00D43A40" w:rsidTr="00D43A40">
        <w:trPr>
          <w:gridAfter w:val="2"/>
          <w:wAfter w:w="349" w:type="dxa"/>
          <w:trHeight w:val="195"/>
        </w:trPr>
        <w:tc>
          <w:tcPr>
            <w:tcW w:w="903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5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</w:p>
        </w:tc>
      </w:tr>
      <w:tr w:rsidR="00D43A40" w:rsidTr="00D43A40">
        <w:trPr>
          <w:gridAfter w:val="2"/>
          <w:wAfter w:w="349" w:type="dxa"/>
          <w:trHeight w:val="20"/>
        </w:trPr>
        <w:tc>
          <w:tcPr>
            <w:tcW w:w="2158" w:type="dxa"/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Advanced age (&gt;60 y)</w:t>
            </w:r>
          </w:p>
        </w:tc>
        <w:tc>
          <w:tcPr>
            <w:tcW w:w="1277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54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2.36 (1.66-3.36)</w:t>
            </w:r>
          </w:p>
        </w:tc>
        <w:tc>
          <w:tcPr>
            <w:tcW w:w="72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.426</w:t>
            </w:r>
          </w:p>
        </w:tc>
        <w:tc>
          <w:tcPr>
            <w:tcW w:w="54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4.76</w:t>
            </w:r>
          </w:p>
        </w:tc>
        <w:tc>
          <w:tcPr>
            <w:tcW w:w="90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</w:tr>
      <w:tr w:rsidR="00D43A40" w:rsidTr="00D43A40">
        <w:trPr>
          <w:gridAfter w:val="2"/>
          <w:wAfter w:w="349" w:type="dxa"/>
          <w:trHeight w:val="20"/>
        </w:trPr>
        <w:tc>
          <w:tcPr>
            <w:tcW w:w="2158" w:type="dxa"/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Advanced stage (I/II vs III/IV)</w:t>
            </w:r>
          </w:p>
        </w:tc>
        <w:tc>
          <w:tcPr>
            <w:tcW w:w="1277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3.18 (1.90-5.32)</w:t>
            </w:r>
          </w:p>
        </w:tc>
        <w:tc>
          <w:tcPr>
            <w:tcW w:w="63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.835</w:t>
            </w:r>
          </w:p>
        </w:tc>
        <w:tc>
          <w:tcPr>
            <w:tcW w:w="54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1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  <w:tc>
          <w:tcPr>
            <w:tcW w:w="135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2.74 (1.90-3.96)</w:t>
            </w:r>
          </w:p>
        </w:tc>
        <w:tc>
          <w:tcPr>
            <w:tcW w:w="72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.514</w:t>
            </w:r>
          </w:p>
        </w:tc>
        <w:tc>
          <w:tcPr>
            <w:tcW w:w="54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90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</w:tr>
      <w:tr w:rsidR="00D43A40" w:rsidTr="00D43A40">
        <w:trPr>
          <w:gridAfter w:val="2"/>
          <w:wAfter w:w="349" w:type="dxa"/>
          <w:trHeight w:val="20"/>
        </w:trPr>
        <w:tc>
          <w:tcPr>
            <w:tcW w:w="2158" w:type="dxa"/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 grade (1 vs 2/3)</w:t>
            </w:r>
          </w:p>
        </w:tc>
        <w:tc>
          <w:tcPr>
            <w:tcW w:w="1277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2.85 (1.57-5.15)</w:t>
            </w:r>
          </w:p>
        </w:tc>
        <w:tc>
          <w:tcPr>
            <w:tcW w:w="63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.862</w:t>
            </w:r>
          </w:p>
        </w:tc>
        <w:tc>
          <w:tcPr>
            <w:tcW w:w="54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81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135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1.65 (1.19-2.28)</w:t>
            </w:r>
          </w:p>
        </w:tc>
        <w:tc>
          <w:tcPr>
            <w:tcW w:w="72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.273</w:t>
            </w:r>
          </w:p>
        </w:tc>
        <w:tc>
          <w:tcPr>
            <w:tcW w:w="54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900" w:type="dxa"/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.002</w:t>
            </w:r>
          </w:p>
        </w:tc>
      </w:tr>
      <w:tr w:rsidR="00D43A40" w:rsidTr="00D43A40">
        <w:trPr>
          <w:gridAfter w:val="2"/>
          <w:wAfter w:w="349" w:type="dxa"/>
          <w:trHeight w:val="20"/>
        </w:trPr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Presence of LVSI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2.10 (1.23-3.60)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.577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.007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1.76 (1.27-2.44)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.293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43A40" w:rsidRDefault="00D43A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.001</w:t>
            </w:r>
          </w:p>
        </w:tc>
      </w:tr>
      <w:tr w:rsidR="00D43A40" w:rsidTr="00D43A40">
        <w:trPr>
          <w:gridAfter w:val="2"/>
          <w:wAfter w:w="349" w:type="dxa"/>
          <w:trHeight w:val="20"/>
        </w:trPr>
        <w:tc>
          <w:tcPr>
            <w:tcW w:w="8925" w:type="dxa"/>
            <w:gridSpan w:val="9"/>
            <w:noWrap/>
            <w:vAlign w:val="center"/>
            <w:hideMark/>
          </w:tcPr>
          <w:p w:rsidR="00D43A40" w:rsidRDefault="00D43A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All variables with a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p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value less than 0.1 in univariate analysis were included in the multivariable model. </w:t>
            </w:r>
          </w:p>
        </w:tc>
      </w:tr>
    </w:tbl>
    <w:p w:rsidR="00D43A40" w:rsidRDefault="00D43A40" w:rsidP="00D43A40">
      <w:pPr>
        <w:rPr>
          <w:sz w:val="18"/>
          <w:szCs w:val="18"/>
        </w:rPr>
      </w:pPr>
    </w:p>
    <w:p w:rsidR="00D43A40" w:rsidRDefault="00D43A40"/>
    <w:sectPr w:rsidR="00D43A40" w:rsidSect="00D0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99"/>
    <w:rsid w:val="00035A99"/>
    <w:rsid w:val="000D28F7"/>
    <w:rsid w:val="00107FF0"/>
    <w:rsid w:val="00254A13"/>
    <w:rsid w:val="003E3045"/>
    <w:rsid w:val="00674842"/>
    <w:rsid w:val="008748F1"/>
    <w:rsid w:val="008B226E"/>
    <w:rsid w:val="009F06CC"/>
    <w:rsid w:val="00AC438B"/>
    <w:rsid w:val="00BB4C3C"/>
    <w:rsid w:val="00CF16CE"/>
    <w:rsid w:val="00D00BEE"/>
    <w:rsid w:val="00D0236F"/>
    <w:rsid w:val="00D35655"/>
    <w:rsid w:val="00D43A40"/>
    <w:rsid w:val="00EB7CB7"/>
    <w:rsid w:val="00ED69CE"/>
    <w:rsid w:val="00F8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A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Aline Talhouk</cp:lastModifiedBy>
  <cp:revision>2</cp:revision>
  <cp:lastPrinted>2014-06-04T17:48:00Z</cp:lastPrinted>
  <dcterms:created xsi:type="dcterms:W3CDTF">2015-06-04T18:00:00Z</dcterms:created>
  <dcterms:modified xsi:type="dcterms:W3CDTF">2015-06-04T18:00:00Z</dcterms:modified>
</cp:coreProperties>
</file>