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Overall</w:t>
      </w:r>
      <w:r>
        <w:t xml:space="preserve"> </w:t>
      </w:r>
      <w:r>
        <w:t xml:space="preserve">Survival</w:t>
      </w:r>
      <w:r>
        <w:t xml:space="preserve"> </w:t>
      </w:r>
      <w:r>
        <w:t xml:space="preserve">from</w:t>
      </w:r>
      <w:r>
        <w:t xml:space="preserve"> </w:t>
      </w:r>
      <w:r>
        <w:t xml:space="preserve">Neoadjuvant</w:t>
      </w:r>
      <w:r>
        <w:t xml:space="preserve"> </w:t>
      </w:r>
      <w:r>
        <w:t xml:space="preserve">Treatment</w:t>
      </w:r>
    </w:p>
    <w:p>
      <w:pPr>
        <w:pStyle w:val="Author"/>
      </w:pPr>
      <w:r>
        <w:t xml:space="preserve">Derek</w:t>
      </w:r>
      <w:r>
        <w:t xml:space="preserve"> </w:t>
      </w:r>
      <w:r>
        <w:t xml:space="preserve">Chiu</w:t>
      </w:r>
    </w:p>
    <w:p>
      <w:pPr>
        <w:pStyle w:val="Date"/>
      </w:pPr>
      <w:r>
        <w:t xml:space="preserve">June</w:t>
      </w:r>
      <w:r>
        <w:t xml:space="preserve"> </w:t>
      </w:r>
      <w:r>
        <w:t xml:space="preserve">25,</w:t>
      </w:r>
      <w:r>
        <w:t xml:space="preserve"> </w:t>
      </w:r>
      <w:r>
        <w:t xml:space="preserve">2015</w:t>
      </w:r>
    </w:p>
    <w:p>
      <w:pPr>
        <w:pStyle w:val="Heading1"/>
      </w:pPr>
      <w:bookmarkStart w:id="21" w:name="introduction"/>
      <w:bookmarkEnd w:id="21"/>
      <w:r>
        <w:t xml:space="preserve">Introduction</w:t>
      </w:r>
    </w:p>
    <w:p>
      <w:r>
        <w:t xml:space="preserve">There are six biomarkers, each of which can be used as predictors in Cox proportional hazard models for overall survival of patients undergoing neoadjuvant treatment. They are measured in densities, and are hypothesized to improve survival.</w:t>
      </w:r>
    </w:p>
    <w:p>
      <w:pPr>
        <w:pStyle w:val="Heading1"/>
      </w:pPr>
      <w:bookmarkStart w:id="22" w:name="exploratory-analysis"/>
      <w:bookmarkEnd w:id="22"/>
      <w:r>
        <w:t xml:space="preserve">Exploratory Analysis</w:t>
      </w:r>
    </w:p>
    <w:p>
      <w:r>
        <w:t xml:space="preserve">Before we begin the Cox modeling, it is important to verify that the cohorts do not vary substantially in terms of their time of follow up. This can be a potential confounder: if a certain cohort was followed up for a longer time compared to another cohort, then a group of patients with better survival might be explained by the cohort they were in and not by the biomarker densities.</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3.93910</w:t>
            </w:r>
          </w:p>
        </w:tc>
        <w:tc>
          <w:p>
            <w:pPr>
              <w:pStyle w:val="Compact"/>
              <w:jc w:val="right"/>
            </w:pPr>
            <w:r>
              <w:t xml:space="preserve">0.40121</w:t>
            </w:r>
          </w:p>
        </w:tc>
        <w:tc>
          <w:p>
            <w:pPr>
              <w:pStyle w:val="Compact"/>
              <w:jc w:val="right"/>
            </w:pPr>
            <w:r>
              <w:t xml:space="preserve">9.81814</w:t>
            </w:r>
          </w:p>
        </w:tc>
        <w:tc>
          <w:p>
            <w:pPr>
              <w:pStyle w:val="Compact"/>
              <w:jc w:val="right"/>
            </w:pPr>
            <w:r>
              <w:t xml:space="preserve">0.00000</w:t>
            </w:r>
          </w:p>
        </w:tc>
      </w:tr>
      <w:tr>
        <w:tc>
          <w:p>
            <w:pPr>
              <w:pStyle w:val="Compact"/>
              <w:jc w:val="left"/>
            </w:pPr>
            <w:r>
              <w:t xml:space="preserve">CohortTGH</w:t>
            </w:r>
          </w:p>
        </w:tc>
        <w:tc>
          <w:p>
            <w:pPr>
              <w:pStyle w:val="Compact"/>
              <w:jc w:val="right"/>
            </w:pPr>
            <w:r>
              <w:t xml:space="preserve">-1.56873</w:t>
            </w:r>
          </w:p>
        </w:tc>
        <w:tc>
          <w:p>
            <w:pPr>
              <w:pStyle w:val="Compact"/>
              <w:jc w:val="right"/>
            </w:pPr>
            <w:r>
              <w:t xml:space="preserve">0.50395</w:t>
            </w:r>
          </w:p>
        </w:tc>
        <w:tc>
          <w:p>
            <w:pPr>
              <w:pStyle w:val="Compact"/>
              <w:jc w:val="right"/>
            </w:pPr>
            <w:r>
              <w:t xml:space="preserve">-3.11285</w:t>
            </w:r>
          </w:p>
        </w:tc>
        <w:tc>
          <w:p>
            <w:pPr>
              <w:pStyle w:val="Compact"/>
              <w:jc w:val="right"/>
            </w:pPr>
            <w:r>
              <w:t xml:space="preserve">0.00252</w:t>
            </w:r>
          </w:p>
        </w:tc>
      </w:tr>
      <w:tr>
        <w:tc>
          <w:p>
            <w:pPr>
              <w:pStyle w:val="Compact"/>
              <w:jc w:val="left"/>
            </w:pPr>
            <w:r>
              <w:t xml:space="preserve">CohortVNAC</w:t>
            </w:r>
          </w:p>
        </w:tc>
        <w:tc>
          <w:p>
            <w:pPr>
              <w:pStyle w:val="Compact"/>
              <w:jc w:val="right"/>
            </w:pPr>
            <w:r>
              <w:t xml:space="preserve">-0.86966</w:t>
            </w:r>
          </w:p>
        </w:tc>
        <w:tc>
          <w:p>
            <w:pPr>
              <w:pStyle w:val="Compact"/>
              <w:jc w:val="right"/>
            </w:pPr>
            <w:r>
              <w:t xml:space="preserve">0.62728</w:t>
            </w:r>
          </w:p>
        </w:tc>
        <w:tc>
          <w:p>
            <w:pPr>
              <w:pStyle w:val="Compact"/>
              <w:jc w:val="right"/>
            </w:pPr>
            <w:r>
              <w:t xml:space="preserve">-1.38641</w:t>
            </w:r>
          </w:p>
        </w:tc>
        <w:tc>
          <w:p>
            <w:pPr>
              <w:pStyle w:val="Compact"/>
              <w:jc w:val="right"/>
            </w:pPr>
            <w:r>
              <w:t xml:space="preserve">0.16921</w:t>
            </w:r>
          </w:p>
        </w:tc>
      </w:tr>
    </w:tbl>
    <w:p>
      <w:r>
        <w:t xml:space="preserve">The reference group is the NAC cohort. We see that the average follow-up time at NAC is significantly greater than the follow-up time at TGH. Furthermore, the global F-test p-value is 0.0099041. This means at least one pair of the three average follow-up times are significantly different from each other. Therefore, we should include</w:t>
      </w:r>
      <w:r>
        <w:t xml:space="preserve"> </w:t>
      </w:r>
      <w:r>
        <w:rPr>
          <w:b/>
        </w:rPr>
        <w:t xml:space="preserve">Cohort</w:t>
      </w:r>
      <w:r>
        <w:t xml:space="preserve"> </w:t>
      </w:r>
      <w:r>
        <w:t xml:space="preserve">as a covariate in our models to account for its variation in follow-up time.</w:t>
      </w:r>
    </w:p>
    <w:p>
      <w:pPr>
        <w:pStyle w:val="Heading1"/>
      </w:pPr>
      <w:bookmarkStart w:id="23" w:name="univariable-analysis"/>
      <w:bookmarkEnd w:id="23"/>
      <w:r>
        <w:t xml:space="preserve">Univariable Analysis</w:t>
      </w:r>
    </w:p>
    <w:p>
      <w:r>
        <w:t xml:space="preserve">We run 12 models, two for each of the six biomarkers in a univariable analysis, one that includes cohort and one that excludes cohort as a covariate.</w:t>
      </w:r>
    </w:p>
    <w:p>
      <w:pPr>
        <w:pStyle w:val="Heading2"/>
      </w:pPr>
      <w:bookmarkStart w:id="24" w:name="cd3"/>
      <w:bookmarkEnd w:id="24"/>
      <w:r>
        <w:t xml:space="preserve">CD3</w:t>
      </w:r>
    </w:p>
    <w:p>
      <w:r>
        <w:rPr>
          <w:b/>
        </w:rPr>
        <w:t xml:space="preserve">Without Cohort</w:t>
      </w:r>
    </w:p>
    <w:tbl>
      <w:tblPr>
        <w:tblStyle w:val="TableNormal"/>
        <w:tblW w:type="pct" w:w="0.0"/>
      </w:tblPr>
      <w:tblGrid/>
      <w:tr>
        <w:tc>
          <w:tcPr>
            <w:tcBorders>
              <w:bottom w:val="single"/>
            </w:tcBorders>
            <w:vAlign w:val="bottom"/>
          </w:tcPr>
          <w:p>
            <w:pPr>
              <w:pStyle w:val="Compact"/>
              <w:jc w:val="right"/>
            </w:pPr>
            <w:r>
              <w:t xml:space="preserve">exp(coef)</w:t>
            </w:r>
          </w:p>
        </w:tc>
        <w:tc>
          <w:tcPr>
            <w:tcBorders>
              <w:bottom w:val="single"/>
            </w:tcBorders>
            <w:vAlign w:val="bottom"/>
          </w:tcPr>
          <w:p>
            <w:pPr>
              <w:pStyle w:val="Compact"/>
              <w:jc w:val="right"/>
            </w:pPr>
            <w:r>
              <w:t xml:space="preserve">lower .95</w:t>
            </w:r>
          </w:p>
        </w:tc>
        <w:tc>
          <w:tcPr>
            <w:tcBorders>
              <w:bottom w:val="single"/>
            </w:tcBorders>
            <w:vAlign w:val="bottom"/>
          </w:tcPr>
          <w:p>
            <w:pPr>
              <w:pStyle w:val="Compact"/>
              <w:jc w:val="right"/>
            </w:pPr>
            <w:r>
              <w:t xml:space="preserve">upper .95</w:t>
            </w:r>
          </w:p>
        </w:tc>
        <w:tc>
          <w:tcPr>
            <w:tcBorders>
              <w:bottom w:val="single"/>
            </w:tcBorders>
            <w:vAlign w:val="bottom"/>
          </w:tcPr>
          <w:p>
            <w:pPr>
              <w:pStyle w:val="Compact"/>
              <w:jc w:val="right"/>
            </w:pPr>
            <w:r>
              <w:t xml:space="preserve">Pr(&gt;|z|)</w:t>
            </w:r>
          </w:p>
        </w:tc>
      </w:tr>
      <w:tr>
        <w:tc>
          <w:p>
            <w:pPr>
              <w:pStyle w:val="Compact"/>
              <w:jc w:val="right"/>
            </w:pPr>
            <w:r>
              <w:t xml:space="preserve">0.99785</w:t>
            </w:r>
          </w:p>
        </w:tc>
        <w:tc>
          <w:p>
            <w:pPr>
              <w:pStyle w:val="Compact"/>
              <w:jc w:val="right"/>
            </w:pPr>
            <w:r>
              <w:t xml:space="preserve">0.98763</w:t>
            </w:r>
          </w:p>
        </w:tc>
        <w:tc>
          <w:p>
            <w:pPr>
              <w:pStyle w:val="Compact"/>
              <w:jc w:val="right"/>
            </w:pPr>
            <w:r>
              <w:t xml:space="preserve">1.00818</w:t>
            </w:r>
          </w:p>
        </w:tc>
        <w:tc>
          <w:p>
            <w:pPr>
              <w:pStyle w:val="Compact"/>
              <w:jc w:val="right"/>
            </w:pPr>
            <w:r>
              <w:t xml:space="preserve">0.68201</w:t>
            </w:r>
          </w:p>
        </w:tc>
      </w:tr>
    </w:tbl>
    <w:p>
      <w:r>
        <w:rPr>
          <w:b/>
        </w:rPr>
        <w:t xml:space="preserve">With Cohort</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exp(coef)</w:t>
            </w:r>
          </w:p>
        </w:tc>
        <w:tc>
          <w:tcPr>
            <w:tcBorders>
              <w:bottom w:val="single"/>
            </w:tcBorders>
            <w:vAlign w:val="bottom"/>
          </w:tcPr>
          <w:p>
            <w:pPr>
              <w:pStyle w:val="Compact"/>
              <w:jc w:val="right"/>
            </w:pPr>
            <w:r>
              <w:t xml:space="preserve">lower .95</w:t>
            </w:r>
          </w:p>
        </w:tc>
        <w:tc>
          <w:tcPr>
            <w:tcBorders>
              <w:bottom w:val="single"/>
            </w:tcBorders>
            <w:vAlign w:val="bottom"/>
          </w:tcPr>
          <w:p>
            <w:pPr>
              <w:pStyle w:val="Compact"/>
              <w:jc w:val="right"/>
            </w:pPr>
            <w:r>
              <w:t xml:space="preserve">upper .95</w:t>
            </w:r>
          </w:p>
        </w:tc>
        <w:tc>
          <w:tcPr>
            <w:tcBorders>
              <w:bottom w:val="single"/>
            </w:tcBorders>
            <w:vAlign w:val="bottom"/>
          </w:tcPr>
          <w:p>
            <w:pPr>
              <w:pStyle w:val="Compact"/>
              <w:jc w:val="right"/>
            </w:pPr>
            <w:r>
              <w:t xml:space="preserve">Pr(&gt;|z|)</w:t>
            </w:r>
          </w:p>
        </w:tc>
      </w:tr>
      <w:tr>
        <w:tc>
          <w:p>
            <w:pPr>
              <w:pStyle w:val="Compact"/>
              <w:jc w:val="left"/>
            </w:pPr>
            <w:r>
              <w:t xml:space="preserve">CD3</w:t>
            </w:r>
          </w:p>
        </w:tc>
        <w:tc>
          <w:p>
            <w:pPr>
              <w:pStyle w:val="Compact"/>
              <w:jc w:val="right"/>
            </w:pPr>
            <w:r>
              <w:t xml:space="preserve">1.000594</w:t>
            </w:r>
          </w:p>
        </w:tc>
        <w:tc>
          <w:p>
            <w:pPr>
              <w:pStyle w:val="Compact"/>
              <w:jc w:val="right"/>
            </w:pPr>
            <w:r>
              <w:t xml:space="preserve">0.9901130</w:t>
            </w:r>
          </w:p>
        </w:tc>
        <w:tc>
          <w:p>
            <w:pPr>
              <w:pStyle w:val="Compact"/>
              <w:jc w:val="right"/>
            </w:pPr>
            <w:r>
              <w:t xml:space="preserve">1.011186</w:t>
            </w:r>
          </w:p>
        </w:tc>
        <w:tc>
          <w:p>
            <w:pPr>
              <w:pStyle w:val="Compact"/>
              <w:jc w:val="right"/>
            </w:pPr>
            <w:r>
              <w:t xml:space="preserve">0.9119809</w:t>
            </w:r>
          </w:p>
        </w:tc>
      </w:tr>
      <w:tr>
        <w:tc>
          <w:p>
            <w:pPr>
              <w:pStyle w:val="Compact"/>
              <w:jc w:val="left"/>
            </w:pPr>
            <w:r>
              <w:t xml:space="preserve">CohortTGH</w:t>
            </w:r>
          </w:p>
        </w:tc>
        <w:tc>
          <w:p>
            <w:pPr>
              <w:pStyle w:val="Compact"/>
              <w:jc w:val="right"/>
            </w:pPr>
            <w:r>
              <w:t xml:space="preserve">1.981533</w:t>
            </w:r>
          </w:p>
        </w:tc>
        <w:tc>
          <w:p>
            <w:pPr>
              <w:pStyle w:val="Compact"/>
              <w:jc w:val="right"/>
            </w:pPr>
            <w:r>
              <w:t xml:space="preserve">1.1432300</w:t>
            </w:r>
          </w:p>
        </w:tc>
        <w:tc>
          <w:p>
            <w:pPr>
              <w:pStyle w:val="Compact"/>
              <w:jc w:val="right"/>
            </w:pPr>
            <w:r>
              <w:t xml:space="preserve">3.434543</w:t>
            </w:r>
          </w:p>
        </w:tc>
        <w:tc>
          <w:p>
            <w:pPr>
              <w:pStyle w:val="Compact"/>
              <w:jc w:val="right"/>
            </w:pPr>
            <w:r>
              <w:t xml:space="preserve">0.0148112</w:t>
            </w:r>
          </w:p>
        </w:tc>
      </w:tr>
      <w:tr>
        <w:tc>
          <w:p>
            <w:pPr>
              <w:pStyle w:val="Compact"/>
              <w:jc w:val="left"/>
            </w:pPr>
            <w:r>
              <w:t xml:space="preserve">CohortVNAC</w:t>
            </w:r>
          </w:p>
        </w:tc>
        <w:tc>
          <w:p>
            <w:pPr>
              <w:pStyle w:val="Compact"/>
              <w:jc w:val="right"/>
            </w:pPr>
            <w:r>
              <w:t xml:space="preserve">1.015294</w:t>
            </w:r>
          </w:p>
        </w:tc>
        <w:tc>
          <w:p>
            <w:pPr>
              <w:pStyle w:val="Compact"/>
              <w:jc w:val="right"/>
            </w:pPr>
            <w:r>
              <w:t xml:space="preserve">0.4854433</w:t>
            </w:r>
          </w:p>
        </w:tc>
        <w:tc>
          <w:p>
            <w:pPr>
              <w:pStyle w:val="Compact"/>
              <w:jc w:val="right"/>
            </w:pPr>
            <w:r>
              <w:t xml:space="preserve">2.123463</w:t>
            </w:r>
          </w:p>
        </w:tc>
        <w:tc>
          <w:p>
            <w:pPr>
              <w:pStyle w:val="Compact"/>
              <w:jc w:val="right"/>
            </w:pPr>
            <w:r>
              <w:t xml:space="preserve">0.9678414</w:t>
            </w:r>
          </w:p>
        </w:tc>
      </w:tr>
    </w:tbl>
    <w:p>
      <w:pPr>
        <w:pStyle w:val="Heading2"/>
      </w:pPr>
      <w:bookmarkStart w:id="25" w:name="cd8"/>
      <w:bookmarkEnd w:id="25"/>
      <w:r>
        <w:t xml:space="preserve">CD8</w:t>
      </w:r>
    </w:p>
    <w:p>
      <w:r>
        <w:rPr>
          <w:b/>
        </w:rPr>
        <w:t xml:space="preserve">Without Cohort</w:t>
      </w:r>
    </w:p>
    <w:tbl>
      <w:tblPr>
        <w:tblStyle w:val="TableNormal"/>
        <w:tblW w:type="pct" w:w="0.0"/>
      </w:tblPr>
      <w:tblGrid/>
      <w:tr>
        <w:tc>
          <w:tcPr>
            <w:tcBorders>
              <w:bottom w:val="single"/>
            </w:tcBorders>
            <w:vAlign w:val="bottom"/>
          </w:tcPr>
          <w:p>
            <w:pPr>
              <w:pStyle w:val="Compact"/>
              <w:jc w:val="right"/>
            </w:pPr>
            <w:r>
              <w:t xml:space="preserve">exp(coef)</w:t>
            </w:r>
          </w:p>
        </w:tc>
        <w:tc>
          <w:tcPr>
            <w:tcBorders>
              <w:bottom w:val="single"/>
            </w:tcBorders>
            <w:vAlign w:val="bottom"/>
          </w:tcPr>
          <w:p>
            <w:pPr>
              <w:pStyle w:val="Compact"/>
              <w:jc w:val="right"/>
            </w:pPr>
            <w:r>
              <w:t xml:space="preserve">lower .95</w:t>
            </w:r>
          </w:p>
        </w:tc>
        <w:tc>
          <w:tcPr>
            <w:tcBorders>
              <w:bottom w:val="single"/>
            </w:tcBorders>
            <w:vAlign w:val="bottom"/>
          </w:tcPr>
          <w:p>
            <w:pPr>
              <w:pStyle w:val="Compact"/>
              <w:jc w:val="right"/>
            </w:pPr>
            <w:r>
              <w:t xml:space="preserve">upper .95</w:t>
            </w:r>
          </w:p>
        </w:tc>
        <w:tc>
          <w:tcPr>
            <w:tcBorders>
              <w:bottom w:val="single"/>
            </w:tcBorders>
            <w:vAlign w:val="bottom"/>
          </w:tcPr>
          <w:p>
            <w:pPr>
              <w:pStyle w:val="Compact"/>
              <w:jc w:val="right"/>
            </w:pPr>
            <w:r>
              <w:t xml:space="preserve">Pr(&gt;|z|)</w:t>
            </w:r>
          </w:p>
        </w:tc>
      </w:tr>
      <w:tr>
        <w:tc>
          <w:p>
            <w:pPr>
              <w:pStyle w:val="Compact"/>
              <w:jc w:val="right"/>
            </w:pPr>
            <w:r>
              <w:t xml:space="preserve">0.99487</w:t>
            </w:r>
          </w:p>
        </w:tc>
        <w:tc>
          <w:p>
            <w:pPr>
              <w:pStyle w:val="Compact"/>
              <w:jc w:val="right"/>
            </w:pPr>
            <w:r>
              <w:t xml:space="preserve">0.98056</w:t>
            </w:r>
          </w:p>
        </w:tc>
        <w:tc>
          <w:p>
            <w:pPr>
              <w:pStyle w:val="Compact"/>
              <w:jc w:val="right"/>
            </w:pPr>
            <w:r>
              <w:t xml:space="preserve">1.00938</w:t>
            </w:r>
          </w:p>
        </w:tc>
        <w:tc>
          <w:p>
            <w:pPr>
              <w:pStyle w:val="Compact"/>
              <w:jc w:val="right"/>
            </w:pPr>
            <w:r>
              <w:t xml:space="preserve">0.48639</w:t>
            </w:r>
          </w:p>
        </w:tc>
      </w:tr>
    </w:tbl>
    <w:p>
      <w:r>
        <w:rPr>
          <w:b/>
        </w:rPr>
        <w:t xml:space="preserve">With Cohort</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exp(coef)</w:t>
            </w:r>
          </w:p>
        </w:tc>
        <w:tc>
          <w:tcPr>
            <w:tcBorders>
              <w:bottom w:val="single"/>
            </w:tcBorders>
            <w:vAlign w:val="bottom"/>
          </w:tcPr>
          <w:p>
            <w:pPr>
              <w:pStyle w:val="Compact"/>
              <w:jc w:val="right"/>
            </w:pPr>
            <w:r>
              <w:t xml:space="preserve">lower .95</w:t>
            </w:r>
          </w:p>
        </w:tc>
        <w:tc>
          <w:tcPr>
            <w:tcBorders>
              <w:bottom w:val="single"/>
            </w:tcBorders>
            <w:vAlign w:val="bottom"/>
          </w:tcPr>
          <w:p>
            <w:pPr>
              <w:pStyle w:val="Compact"/>
              <w:jc w:val="right"/>
            </w:pPr>
            <w:r>
              <w:t xml:space="preserve">upper .95</w:t>
            </w:r>
          </w:p>
        </w:tc>
        <w:tc>
          <w:tcPr>
            <w:tcBorders>
              <w:bottom w:val="single"/>
            </w:tcBorders>
            <w:vAlign w:val="bottom"/>
          </w:tcPr>
          <w:p>
            <w:pPr>
              <w:pStyle w:val="Compact"/>
              <w:jc w:val="right"/>
            </w:pPr>
            <w:r>
              <w:t xml:space="preserve">Pr(&gt;|z|)</w:t>
            </w:r>
          </w:p>
        </w:tc>
      </w:tr>
      <w:tr>
        <w:tc>
          <w:p>
            <w:pPr>
              <w:pStyle w:val="Compact"/>
              <w:jc w:val="left"/>
            </w:pPr>
            <w:r>
              <w:t xml:space="preserve">CD8</w:t>
            </w:r>
          </w:p>
        </w:tc>
        <w:tc>
          <w:p>
            <w:pPr>
              <w:pStyle w:val="Compact"/>
              <w:jc w:val="right"/>
            </w:pPr>
            <w:r>
              <w:t xml:space="preserve">1.001645</w:t>
            </w:r>
          </w:p>
        </w:tc>
        <w:tc>
          <w:p>
            <w:pPr>
              <w:pStyle w:val="Compact"/>
              <w:jc w:val="right"/>
            </w:pPr>
            <w:r>
              <w:t xml:space="preserve">0.9870476</w:t>
            </w:r>
          </w:p>
        </w:tc>
        <w:tc>
          <w:p>
            <w:pPr>
              <w:pStyle w:val="Compact"/>
              <w:jc w:val="right"/>
            </w:pPr>
            <w:r>
              <w:t xml:space="preserve">1.016458</w:t>
            </w:r>
          </w:p>
        </w:tc>
        <w:tc>
          <w:p>
            <w:pPr>
              <w:pStyle w:val="Compact"/>
              <w:jc w:val="right"/>
            </w:pPr>
            <w:r>
              <w:t xml:space="preserve">0.8263204</w:t>
            </w:r>
          </w:p>
        </w:tc>
      </w:tr>
      <w:tr>
        <w:tc>
          <w:p>
            <w:pPr>
              <w:pStyle w:val="Compact"/>
              <w:jc w:val="left"/>
            </w:pPr>
            <w:r>
              <w:t xml:space="preserve">CohortTGH</w:t>
            </w:r>
          </w:p>
        </w:tc>
        <w:tc>
          <w:p>
            <w:pPr>
              <w:pStyle w:val="Compact"/>
              <w:jc w:val="right"/>
            </w:pPr>
            <w:r>
              <w:t xml:space="preserve">2.017749</w:t>
            </w:r>
          </w:p>
        </w:tc>
        <w:tc>
          <w:p>
            <w:pPr>
              <w:pStyle w:val="Compact"/>
              <w:jc w:val="right"/>
            </w:pPr>
            <w:r>
              <w:t xml:space="preserve">1.1277160</w:t>
            </w:r>
          </w:p>
        </w:tc>
        <w:tc>
          <w:p>
            <w:pPr>
              <w:pStyle w:val="Compact"/>
              <w:jc w:val="right"/>
            </w:pPr>
            <w:r>
              <w:t xml:space="preserve">3.610228</w:t>
            </w:r>
          </w:p>
        </w:tc>
        <w:tc>
          <w:p>
            <w:pPr>
              <w:pStyle w:val="Compact"/>
              <w:jc w:val="right"/>
            </w:pPr>
            <w:r>
              <w:t xml:space="preserve">0.0180358</w:t>
            </w:r>
          </w:p>
        </w:tc>
      </w:tr>
      <w:tr>
        <w:tc>
          <w:p>
            <w:pPr>
              <w:pStyle w:val="Compact"/>
              <w:jc w:val="left"/>
            </w:pPr>
            <w:r>
              <w:t xml:space="preserve">CohortVNAC</w:t>
            </w:r>
          </w:p>
        </w:tc>
        <w:tc>
          <w:p>
            <w:pPr>
              <w:pStyle w:val="Compact"/>
              <w:jc w:val="right"/>
            </w:pPr>
            <w:r>
              <w:t xml:space="preserve">1.027280</w:t>
            </w:r>
          </w:p>
        </w:tc>
        <w:tc>
          <w:p>
            <w:pPr>
              <w:pStyle w:val="Compact"/>
              <w:jc w:val="right"/>
            </w:pPr>
            <w:r>
              <w:t xml:space="preserve">0.4892750</w:t>
            </w:r>
          </w:p>
        </w:tc>
        <w:tc>
          <w:p>
            <w:pPr>
              <w:pStyle w:val="Compact"/>
              <w:jc w:val="right"/>
            </w:pPr>
            <w:r>
              <w:t xml:space="preserve">2.156874</w:t>
            </w:r>
          </w:p>
        </w:tc>
        <w:tc>
          <w:p>
            <w:pPr>
              <w:pStyle w:val="Compact"/>
              <w:jc w:val="right"/>
            </w:pPr>
            <w:r>
              <w:t xml:space="preserve">0.9433033</w:t>
            </w:r>
          </w:p>
        </w:tc>
      </w:tr>
    </w:tbl>
    <w:p>
      <w:pPr>
        <w:pStyle w:val="Heading2"/>
      </w:pPr>
      <w:bookmarkStart w:id="26" w:name="cd20"/>
      <w:bookmarkEnd w:id="26"/>
      <w:r>
        <w:t xml:space="preserve">CD20</w:t>
      </w:r>
    </w:p>
    <w:p>
      <w:r>
        <w:rPr>
          <w:b/>
        </w:rPr>
        <w:t xml:space="preserve">Without Cohort</w:t>
      </w:r>
    </w:p>
    <w:tbl>
      <w:tblPr>
        <w:tblStyle w:val="TableNormal"/>
        <w:tblW w:type="pct" w:w="0.0"/>
      </w:tblPr>
      <w:tblGrid/>
      <w:tr>
        <w:tc>
          <w:tcPr>
            <w:tcBorders>
              <w:bottom w:val="single"/>
            </w:tcBorders>
            <w:vAlign w:val="bottom"/>
          </w:tcPr>
          <w:p>
            <w:pPr>
              <w:pStyle w:val="Compact"/>
              <w:jc w:val="right"/>
            </w:pPr>
            <w:r>
              <w:t xml:space="preserve">exp(coef)</w:t>
            </w:r>
          </w:p>
        </w:tc>
        <w:tc>
          <w:tcPr>
            <w:tcBorders>
              <w:bottom w:val="single"/>
            </w:tcBorders>
            <w:vAlign w:val="bottom"/>
          </w:tcPr>
          <w:p>
            <w:pPr>
              <w:pStyle w:val="Compact"/>
              <w:jc w:val="right"/>
            </w:pPr>
            <w:r>
              <w:t xml:space="preserve">lower .95</w:t>
            </w:r>
          </w:p>
        </w:tc>
        <w:tc>
          <w:tcPr>
            <w:tcBorders>
              <w:bottom w:val="single"/>
            </w:tcBorders>
            <w:vAlign w:val="bottom"/>
          </w:tcPr>
          <w:p>
            <w:pPr>
              <w:pStyle w:val="Compact"/>
              <w:jc w:val="right"/>
            </w:pPr>
            <w:r>
              <w:t xml:space="preserve">upper .95</w:t>
            </w:r>
          </w:p>
        </w:tc>
        <w:tc>
          <w:tcPr>
            <w:tcBorders>
              <w:bottom w:val="single"/>
            </w:tcBorders>
            <w:vAlign w:val="bottom"/>
          </w:tcPr>
          <w:p>
            <w:pPr>
              <w:pStyle w:val="Compact"/>
              <w:jc w:val="right"/>
            </w:pPr>
            <w:r>
              <w:t xml:space="preserve">Pr(&gt;|z|)</w:t>
            </w:r>
          </w:p>
        </w:tc>
      </w:tr>
      <w:tr>
        <w:tc>
          <w:p>
            <w:pPr>
              <w:pStyle w:val="Compact"/>
              <w:jc w:val="right"/>
            </w:pPr>
            <w:r>
              <w:t xml:space="preserve">0.84754</w:t>
            </w:r>
          </w:p>
        </w:tc>
        <w:tc>
          <w:p>
            <w:pPr>
              <w:pStyle w:val="Compact"/>
              <w:jc w:val="right"/>
            </w:pPr>
            <w:r>
              <w:t xml:space="preserve">0.71632</w:t>
            </w:r>
          </w:p>
        </w:tc>
        <w:tc>
          <w:p>
            <w:pPr>
              <w:pStyle w:val="Compact"/>
              <w:jc w:val="right"/>
            </w:pPr>
            <w:r>
              <w:t xml:space="preserve">1.00279</w:t>
            </w:r>
          </w:p>
        </w:tc>
        <w:tc>
          <w:p>
            <w:pPr>
              <w:pStyle w:val="Compact"/>
              <w:jc w:val="right"/>
            </w:pPr>
            <w:r>
              <w:t xml:space="preserve">0.05392</w:t>
            </w:r>
          </w:p>
        </w:tc>
      </w:tr>
    </w:tbl>
    <w:p>
      <w:r>
        <w:rPr>
          <w:b/>
        </w:rPr>
        <w:t xml:space="preserve">With Cohort</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exp(coef)</w:t>
            </w:r>
          </w:p>
        </w:tc>
        <w:tc>
          <w:tcPr>
            <w:tcBorders>
              <w:bottom w:val="single"/>
            </w:tcBorders>
            <w:vAlign w:val="bottom"/>
          </w:tcPr>
          <w:p>
            <w:pPr>
              <w:pStyle w:val="Compact"/>
              <w:jc w:val="right"/>
            </w:pPr>
            <w:r>
              <w:t xml:space="preserve">lower .95</w:t>
            </w:r>
          </w:p>
        </w:tc>
        <w:tc>
          <w:tcPr>
            <w:tcBorders>
              <w:bottom w:val="single"/>
            </w:tcBorders>
            <w:vAlign w:val="bottom"/>
          </w:tcPr>
          <w:p>
            <w:pPr>
              <w:pStyle w:val="Compact"/>
              <w:jc w:val="right"/>
            </w:pPr>
            <w:r>
              <w:t xml:space="preserve">upper .95</w:t>
            </w:r>
          </w:p>
        </w:tc>
        <w:tc>
          <w:tcPr>
            <w:tcBorders>
              <w:bottom w:val="single"/>
            </w:tcBorders>
            <w:vAlign w:val="bottom"/>
          </w:tcPr>
          <w:p>
            <w:pPr>
              <w:pStyle w:val="Compact"/>
              <w:jc w:val="right"/>
            </w:pPr>
            <w:r>
              <w:t xml:space="preserve">Pr(&gt;|z|)</w:t>
            </w:r>
          </w:p>
        </w:tc>
      </w:tr>
      <w:tr>
        <w:tc>
          <w:p>
            <w:pPr>
              <w:pStyle w:val="Compact"/>
              <w:jc w:val="left"/>
            </w:pPr>
            <w:r>
              <w:t xml:space="preserve">CD20</w:t>
            </w:r>
          </w:p>
        </w:tc>
        <w:tc>
          <w:p>
            <w:pPr>
              <w:pStyle w:val="Compact"/>
              <w:jc w:val="right"/>
            </w:pPr>
            <w:r>
              <w:t xml:space="preserve">0.9011514</w:t>
            </w:r>
          </w:p>
        </w:tc>
        <w:tc>
          <w:p>
            <w:pPr>
              <w:pStyle w:val="Compact"/>
              <w:jc w:val="right"/>
            </w:pPr>
            <w:r>
              <w:t xml:space="preserve">0.7617691</w:t>
            </w:r>
          </w:p>
        </w:tc>
        <w:tc>
          <w:p>
            <w:pPr>
              <w:pStyle w:val="Compact"/>
              <w:jc w:val="right"/>
            </w:pPr>
            <w:r>
              <w:t xml:space="preserve">1.066037</w:t>
            </w:r>
          </w:p>
        </w:tc>
        <w:tc>
          <w:p>
            <w:pPr>
              <w:pStyle w:val="Compact"/>
              <w:jc w:val="right"/>
            </w:pPr>
            <w:r>
              <w:t xml:space="preserve">0.2247273</w:t>
            </w:r>
          </w:p>
        </w:tc>
      </w:tr>
      <w:tr>
        <w:tc>
          <w:p>
            <w:pPr>
              <w:pStyle w:val="Compact"/>
              <w:jc w:val="left"/>
            </w:pPr>
            <w:r>
              <w:t xml:space="preserve">CohortTGH</w:t>
            </w:r>
          </w:p>
        </w:tc>
        <w:tc>
          <w:p>
            <w:pPr>
              <w:pStyle w:val="Compact"/>
              <w:jc w:val="right"/>
            </w:pPr>
            <w:r>
              <w:t xml:space="preserve">1.7853539</w:t>
            </w:r>
          </w:p>
        </w:tc>
        <w:tc>
          <w:p>
            <w:pPr>
              <w:pStyle w:val="Compact"/>
              <w:jc w:val="right"/>
            </w:pPr>
            <w:r>
              <w:t xml:space="preserve">1.0377319</w:t>
            </w:r>
          </w:p>
        </w:tc>
        <w:tc>
          <w:p>
            <w:pPr>
              <w:pStyle w:val="Compact"/>
              <w:jc w:val="right"/>
            </w:pPr>
            <w:r>
              <w:t xml:space="preserve">3.071591</w:t>
            </w:r>
          </w:p>
        </w:tc>
        <w:tc>
          <w:p>
            <w:pPr>
              <w:pStyle w:val="Compact"/>
              <w:jc w:val="right"/>
            </w:pPr>
            <w:r>
              <w:t xml:space="preserve">0.0362818</w:t>
            </w:r>
          </w:p>
        </w:tc>
      </w:tr>
      <w:tr>
        <w:tc>
          <w:p>
            <w:pPr>
              <w:pStyle w:val="Compact"/>
              <w:jc w:val="left"/>
            </w:pPr>
            <w:r>
              <w:t xml:space="preserve">CohortVNAC</w:t>
            </w:r>
          </w:p>
        </w:tc>
        <w:tc>
          <w:p>
            <w:pPr>
              <w:pStyle w:val="Compact"/>
              <w:jc w:val="right"/>
            </w:pPr>
            <w:r>
              <w:t xml:space="preserve">1.0840834</w:t>
            </w:r>
          </w:p>
        </w:tc>
        <w:tc>
          <w:p>
            <w:pPr>
              <w:pStyle w:val="Compact"/>
              <w:jc w:val="right"/>
            </w:pPr>
            <w:r>
              <w:t xml:space="preserve">0.5305874</w:t>
            </w:r>
          </w:p>
        </w:tc>
        <w:tc>
          <w:p>
            <w:pPr>
              <w:pStyle w:val="Compact"/>
              <w:jc w:val="right"/>
            </w:pPr>
            <w:r>
              <w:t xml:space="preserve">2.214973</w:t>
            </w:r>
          </w:p>
        </w:tc>
        <w:tc>
          <w:p>
            <w:pPr>
              <w:pStyle w:val="Compact"/>
              <w:jc w:val="right"/>
            </w:pPr>
            <w:r>
              <w:t xml:space="preserve">0.8247310</w:t>
            </w:r>
          </w:p>
        </w:tc>
      </w:tr>
    </w:tbl>
    <w:p>
      <w:pPr>
        <w:pStyle w:val="Heading2"/>
      </w:pPr>
      <w:bookmarkStart w:id="27" w:name="tia.1"/>
      <w:bookmarkEnd w:id="27"/>
      <w:r>
        <w:t xml:space="preserve">TIA.1</w:t>
      </w:r>
    </w:p>
    <w:p>
      <w:r>
        <w:rPr>
          <w:b/>
        </w:rPr>
        <w:t xml:space="preserve">Without Cohort</w:t>
      </w:r>
    </w:p>
    <w:tbl>
      <w:tblPr>
        <w:tblStyle w:val="TableNormal"/>
        <w:tblW w:type="pct" w:w="0.0"/>
      </w:tblPr>
      <w:tblGrid/>
      <w:tr>
        <w:tc>
          <w:tcPr>
            <w:tcBorders>
              <w:bottom w:val="single"/>
            </w:tcBorders>
            <w:vAlign w:val="bottom"/>
          </w:tcPr>
          <w:p>
            <w:pPr>
              <w:pStyle w:val="Compact"/>
              <w:jc w:val="right"/>
            </w:pPr>
            <w:r>
              <w:t xml:space="preserve">exp(coef)</w:t>
            </w:r>
          </w:p>
        </w:tc>
        <w:tc>
          <w:tcPr>
            <w:tcBorders>
              <w:bottom w:val="single"/>
            </w:tcBorders>
            <w:vAlign w:val="bottom"/>
          </w:tcPr>
          <w:p>
            <w:pPr>
              <w:pStyle w:val="Compact"/>
              <w:jc w:val="right"/>
            </w:pPr>
            <w:r>
              <w:t xml:space="preserve">lower .95</w:t>
            </w:r>
          </w:p>
        </w:tc>
        <w:tc>
          <w:tcPr>
            <w:tcBorders>
              <w:bottom w:val="single"/>
            </w:tcBorders>
            <w:vAlign w:val="bottom"/>
          </w:tcPr>
          <w:p>
            <w:pPr>
              <w:pStyle w:val="Compact"/>
              <w:jc w:val="right"/>
            </w:pPr>
            <w:r>
              <w:t xml:space="preserve">upper .95</w:t>
            </w:r>
          </w:p>
        </w:tc>
        <w:tc>
          <w:tcPr>
            <w:tcBorders>
              <w:bottom w:val="single"/>
            </w:tcBorders>
            <w:vAlign w:val="bottom"/>
          </w:tcPr>
          <w:p>
            <w:pPr>
              <w:pStyle w:val="Compact"/>
              <w:jc w:val="right"/>
            </w:pPr>
            <w:r>
              <w:t xml:space="preserve">Pr(&gt;|z|)</w:t>
            </w:r>
          </w:p>
        </w:tc>
      </w:tr>
      <w:tr>
        <w:tc>
          <w:p>
            <w:pPr>
              <w:pStyle w:val="Compact"/>
              <w:jc w:val="right"/>
            </w:pPr>
            <w:r>
              <w:t xml:space="preserve">1.0042</w:t>
            </w:r>
          </w:p>
        </w:tc>
        <w:tc>
          <w:p>
            <w:pPr>
              <w:pStyle w:val="Compact"/>
              <w:jc w:val="right"/>
            </w:pPr>
            <w:r>
              <w:t xml:space="preserve">0.97567</w:t>
            </w:r>
          </w:p>
        </w:tc>
        <w:tc>
          <w:p>
            <w:pPr>
              <w:pStyle w:val="Compact"/>
              <w:jc w:val="right"/>
            </w:pPr>
            <w:r>
              <w:t xml:space="preserve">1.03356</w:t>
            </w:r>
          </w:p>
        </w:tc>
        <w:tc>
          <w:p>
            <w:pPr>
              <w:pStyle w:val="Compact"/>
              <w:jc w:val="right"/>
            </w:pPr>
            <w:r>
              <w:t xml:space="preserve">0.77572</w:t>
            </w:r>
          </w:p>
        </w:tc>
      </w:tr>
    </w:tbl>
    <w:p>
      <w:r>
        <w:rPr>
          <w:b/>
        </w:rPr>
        <w:t xml:space="preserve">With Cohort</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exp(coef)</w:t>
            </w:r>
          </w:p>
        </w:tc>
        <w:tc>
          <w:tcPr>
            <w:tcBorders>
              <w:bottom w:val="single"/>
            </w:tcBorders>
            <w:vAlign w:val="bottom"/>
          </w:tcPr>
          <w:p>
            <w:pPr>
              <w:pStyle w:val="Compact"/>
              <w:jc w:val="right"/>
            </w:pPr>
            <w:r>
              <w:t xml:space="preserve">lower .95</w:t>
            </w:r>
          </w:p>
        </w:tc>
        <w:tc>
          <w:tcPr>
            <w:tcBorders>
              <w:bottom w:val="single"/>
            </w:tcBorders>
            <w:vAlign w:val="bottom"/>
          </w:tcPr>
          <w:p>
            <w:pPr>
              <w:pStyle w:val="Compact"/>
              <w:jc w:val="right"/>
            </w:pPr>
            <w:r>
              <w:t xml:space="preserve">upper .95</w:t>
            </w:r>
          </w:p>
        </w:tc>
        <w:tc>
          <w:tcPr>
            <w:tcBorders>
              <w:bottom w:val="single"/>
            </w:tcBorders>
            <w:vAlign w:val="bottom"/>
          </w:tcPr>
          <w:p>
            <w:pPr>
              <w:pStyle w:val="Compact"/>
              <w:jc w:val="right"/>
            </w:pPr>
            <w:r>
              <w:t xml:space="preserve">Pr(&gt;|z|)</w:t>
            </w:r>
          </w:p>
        </w:tc>
      </w:tr>
      <w:tr>
        <w:tc>
          <w:p>
            <w:pPr>
              <w:pStyle w:val="Compact"/>
              <w:jc w:val="left"/>
            </w:pPr>
            <w:r>
              <w:t xml:space="preserve">TIA.1</w:t>
            </w:r>
          </w:p>
        </w:tc>
        <w:tc>
          <w:p>
            <w:pPr>
              <w:pStyle w:val="Compact"/>
              <w:jc w:val="right"/>
            </w:pPr>
            <w:r>
              <w:t xml:space="preserve">1.0053676</w:t>
            </w:r>
          </w:p>
        </w:tc>
        <w:tc>
          <w:p>
            <w:pPr>
              <w:pStyle w:val="Compact"/>
              <w:jc w:val="right"/>
            </w:pPr>
            <w:r>
              <w:t xml:space="preserve">0.9791669</w:t>
            </w:r>
          </w:p>
        </w:tc>
        <w:tc>
          <w:p>
            <w:pPr>
              <w:pStyle w:val="Compact"/>
              <w:jc w:val="right"/>
            </w:pPr>
            <w:r>
              <w:t xml:space="preserve">1.032269</w:t>
            </w:r>
          </w:p>
        </w:tc>
        <w:tc>
          <w:p>
            <w:pPr>
              <w:pStyle w:val="Compact"/>
              <w:jc w:val="right"/>
            </w:pPr>
            <w:r>
              <w:t xml:space="preserve">0.6911196</w:t>
            </w:r>
          </w:p>
        </w:tc>
      </w:tr>
      <w:tr>
        <w:tc>
          <w:p>
            <w:pPr>
              <w:pStyle w:val="Compact"/>
              <w:jc w:val="left"/>
            </w:pPr>
            <w:r>
              <w:t xml:space="preserve">CohortTGH</w:t>
            </w:r>
          </w:p>
        </w:tc>
        <w:tc>
          <w:p>
            <w:pPr>
              <w:pStyle w:val="Compact"/>
              <w:jc w:val="right"/>
            </w:pPr>
            <w:r>
              <w:t xml:space="preserve">1.9646750</w:t>
            </w:r>
          </w:p>
        </w:tc>
        <w:tc>
          <w:p>
            <w:pPr>
              <w:pStyle w:val="Compact"/>
              <w:jc w:val="right"/>
            </w:pPr>
            <w:r>
              <w:t xml:space="preserve">1.1617546</w:t>
            </w:r>
          </w:p>
        </w:tc>
        <w:tc>
          <w:p>
            <w:pPr>
              <w:pStyle w:val="Compact"/>
              <w:jc w:val="right"/>
            </w:pPr>
            <w:r>
              <w:t xml:space="preserve">3.322516</w:t>
            </w:r>
          </w:p>
        </w:tc>
        <w:tc>
          <w:p>
            <w:pPr>
              <w:pStyle w:val="Compact"/>
              <w:jc w:val="right"/>
            </w:pPr>
            <w:r>
              <w:t xml:space="preserve">0.0117596</w:t>
            </w:r>
          </w:p>
        </w:tc>
      </w:tr>
      <w:tr>
        <w:tc>
          <w:p>
            <w:pPr>
              <w:pStyle w:val="Compact"/>
              <w:jc w:val="left"/>
            </w:pPr>
            <w:r>
              <w:t xml:space="preserve">CohortVNAC</w:t>
            </w:r>
          </w:p>
        </w:tc>
        <w:tc>
          <w:p>
            <w:pPr>
              <w:pStyle w:val="Compact"/>
              <w:jc w:val="right"/>
            </w:pPr>
            <w:r>
              <w:t xml:space="preserve">0.9966941</w:t>
            </w:r>
          </w:p>
        </w:tc>
        <w:tc>
          <w:p>
            <w:pPr>
              <w:pStyle w:val="Compact"/>
              <w:jc w:val="right"/>
            </w:pPr>
            <w:r>
              <w:t xml:space="preserve">0.4887148</w:t>
            </w:r>
          </w:p>
        </w:tc>
        <w:tc>
          <w:p>
            <w:pPr>
              <w:pStyle w:val="Compact"/>
              <w:jc w:val="right"/>
            </w:pPr>
            <w:r>
              <w:t xml:space="preserve">2.032676</w:t>
            </w:r>
          </w:p>
        </w:tc>
        <w:tc>
          <w:p>
            <w:pPr>
              <w:pStyle w:val="Compact"/>
              <w:jc w:val="right"/>
            </w:pPr>
            <w:r>
              <w:t xml:space="preserve">0.9927338</w:t>
            </w:r>
          </w:p>
        </w:tc>
      </w:tr>
    </w:tbl>
    <w:p>
      <w:pPr>
        <w:pStyle w:val="Heading2"/>
      </w:pPr>
      <w:bookmarkStart w:id="28" w:name="pd.1"/>
      <w:bookmarkEnd w:id="28"/>
      <w:r>
        <w:t xml:space="preserve">PD.1</w:t>
      </w:r>
    </w:p>
    <w:p>
      <w:r>
        <w:rPr>
          <w:b/>
        </w:rPr>
        <w:t xml:space="preserve">Without Cohort</w:t>
      </w:r>
    </w:p>
    <w:tbl>
      <w:tblPr>
        <w:tblStyle w:val="TableNormal"/>
        <w:tblW w:type="pct" w:w="0.0"/>
      </w:tblPr>
      <w:tblGrid/>
      <w:tr>
        <w:tc>
          <w:tcPr>
            <w:tcBorders>
              <w:bottom w:val="single"/>
            </w:tcBorders>
            <w:vAlign w:val="bottom"/>
          </w:tcPr>
          <w:p>
            <w:pPr>
              <w:pStyle w:val="Compact"/>
              <w:jc w:val="right"/>
            </w:pPr>
            <w:r>
              <w:t xml:space="preserve">exp(coef)</w:t>
            </w:r>
          </w:p>
        </w:tc>
        <w:tc>
          <w:tcPr>
            <w:tcBorders>
              <w:bottom w:val="single"/>
            </w:tcBorders>
            <w:vAlign w:val="bottom"/>
          </w:tcPr>
          <w:p>
            <w:pPr>
              <w:pStyle w:val="Compact"/>
              <w:jc w:val="right"/>
            </w:pPr>
            <w:r>
              <w:t xml:space="preserve">lower .95</w:t>
            </w:r>
          </w:p>
        </w:tc>
        <w:tc>
          <w:tcPr>
            <w:tcBorders>
              <w:bottom w:val="single"/>
            </w:tcBorders>
            <w:vAlign w:val="bottom"/>
          </w:tcPr>
          <w:p>
            <w:pPr>
              <w:pStyle w:val="Compact"/>
              <w:jc w:val="right"/>
            </w:pPr>
            <w:r>
              <w:t xml:space="preserve">upper .95</w:t>
            </w:r>
          </w:p>
        </w:tc>
        <w:tc>
          <w:tcPr>
            <w:tcBorders>
              <w:bottom w:val="single"/>
            </w:tcBorders>
            <w:vAlign w:val="bottom"/>
          </w:tcPr>
          <w:p>
            <w:pPr>
              <w:pStyle w:val="Compact"/>
              <w:jc w:val="right"/>
            </w:pPr>
            <w:r>
              <w:t xml:space="preserve">Pr(&gt;|z|)</w:t>
            </w:r>
          </w:p>
        </w:tc>
      </w:tr>
      <w:tr>
        <w:tc>
          <w:p>
            <w:pPr>
              <w:pStyle w:val="Compact"/>
              <w:jc w:val="right"/>
            </w:pPr>
            <w:r>
              <w:t xml:space="preserve">0.96822</w:t>
            </w:r>
          </w:p>
        </w:tc>
        <w:tc>
          <w:p>
            <w:pPr>
              <w:pStyle w:val="Compact"/>
              <w:jc w:val="right"/>
            </w:pPr>
            <w:r>
              <w:t xml:space="preserve">0.9217</w:t>
            </w:r>
          </w:p>
        </w:tc>
        <w:tc>
          <w:p>
            <w:pPr>
              <w:pStyle w:val="Compact"/>
              <w:jc w:val="right"/>
            </w:pPr>
            <w:r>
              <w:t xml:space="preserve">1.01708</w:t>
            </w:r>
          </w:p>
        </w:tc>
        <w:tc>
          <w:p>
            <w:pPr>
              <w:pStyle w:val="Compact"/>
              <w:jc w:val="right"/>
            </w:pPr>
            <w:r>
              <w:t xml:space="preserve">0.19853</w:t>
            </w:r>
          </w:p>
        </w:tc>
      </w:tr>
    </w:tbl>
    <w:p>
      <w:r>
        <w:rPr>
          <w:b/>
        </w:rPr>
        <w:t xml:space="preserve">With Cohort</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exp(coef)</w:t>
            </w:r>
          </w:p>
        </w:tc>
        <w:tc>
          <w:tcPr>
            <w:tcBorders>
              <w:bottom w:val="single"/>
            </w:tcBorders>
            <w:vAlign w:val="bottom"/>
          </w:tcPr>
          <w:p>
            <w:pPr>
              <w:pStyle w:val="Compact"/>
              <w:jc w:val="right"/>
            </w:pPr>
            <w:r>
              <w:t xml:space="preserve">lower .95</w:t>
            </w:r>
          </w:p>
        </w:tc>
        <w:tc>
          <w:tcPr>
            <w:tcBorders>
              <w:bottom w:val="single"/>
            </w:tcBorders>
            <w:vAlign w:val="bottom"/>
          </w:tcPr>
          <w:p>
            <w:pPr>
              <w:pStyle w:val="Compact"/>
              <w:jc w:val="right"/>
            </w:pPr>
            <w:r>
              <w:t xml:space="preserve">upper .95</w:t>
            </w:r>
          </w:p>
        </w:tc>
        <w:tc>
          <w:tcPr>
            <w:tcBorders>
              <w:bottom w:val="single"/>
            </w:tcBorders>
            <w:vAlign w:val="bottom"/>
          </w:tcPr>
          <w:p>
            <w:pPr>
              <w:pStyle w:val="Compact"/>
              <w:jc w:val="right"/>
            </w:pPr>
            <w:r>
              <w:t xml:space="preserve">Pr(&gt;|z|)</w:t>
            </w:r>
          </w:p>
        </w:tc>
      </w:tr>
      <w:tr>
        <w:tc>
          <w:p>
            <w:pPr>
              <w:pStyle w:val="Compact"/>
              <w:jc w:val="left"/>
            </w:pPr>
            <w:r>
              <w:t xml:space="preserve">PD.1</w:t>
            </w:r>
          </w:p>
        </w:tc>
        <w:tc>
          <w:p>
            <w:pPr>
              <w:pStyle w:val="Compact"/>
              <w:jc w:val="right"/>
            </w:pPr>
            <w:r>
              <w:t xml:space="preserve">0.9912181</w:t>
            </w:r>
          </w:p>
        </w:tc>
        <w:tc>
          <w:p>
            <w:pPr>
              <w:pStyle w:val="Compact"/>
              <w:jc w:val="right"/>
            </w:pPr>
            <w:r>
              <w:t xml:space="preserve">0.9435545</w:t>
            </w:r>
          </w:p>
        </w:tc>
        <w:tc>
          <w:p>
            <w:pPr>
              <w:pStyle w:val="Compact"/>
              <w:jc w:val="right"/>
            </w:pPr>
            <w:r>
              <w:t xml:space="preserve">1.041289</w:t>
            </w:r>
          </w:p>
        </w:tc>
        <w:tc>
          <w:p>
            <w:pPr>
              <w:pStyle w:val="Compact"/>
              <w:jc w:val="right"/>
            </w:pPr>
            <w:r>
              <w:t xml:space="preserve">0.7257283</w:t>
            </w:r>
          </w:p>
        </w:tc>
      </w:tr>
      <w:tr>
        <w:tc>
          <w:p>
            <w:pPr>
              <w:pStyle w:val="Compact"/>
              <w:jc w:val="left"/>
            </w:pPr>
            <w:r>
              <w:t xml:space="preserve">CohortTGH</w:t>
            </w:r>
          </w:p>
        </w:tc>
        <w:tc>
          <w:p>
            <w:pPr>
              <w:pStyle w:val="Compact"/>
              <w:jc w:val="right"/>
            </w:pPr>
            <w:r>
              <w:t xml:space="preserve">1.8190972</w:t>
            </w:r>
          </w:p>
        </w:tc>
        <w:tc>
          <w:p>
            <w:pPr>
              <w:pStyle w:val="Compact"/>
              <w:jc w:val="right"/>
            </w:pPr>
            <w:r>
              <w:t xml:space="preserve">1.0321683</w:t>
            </w:r>
          </w:p>
        </w:tc>
        <w:tc>
          <w:p>
            <w:pPr>
              <w:pStyle w:val="Compact"/>
              <w:jc w:val="right"/>
            </w:pPr>
            <w:r>
              <w:t xml:space="preserve">3.205984</w:t>
            </w:r>
          </w:p>
        </w:tc>
        <w:tc>
          <w:p>
            <w:pPr>
              <w:pStyle w:val="Compact"/>
              <w:jc w:val="right"/>
            </w:pPr>
            <w:r>
              <w:t xml:space="preserve">0.0385018</w:t>
            </w:r>
          </w:p>
        </w:tc>
      </w:tr>
      <w:tr>
        <w:tc>
          <w:p>
            <w:pPr>
              <w:pStyle w:val="Compact"/>
              <w:jc w:val="left"/>
            </w:pPr>
            <w:r>
              <w:t xml:space="preserve">CohortVNAC</w:t>
            </w:r>
          </w:p>
        </w:tc>
        <w:tc>
          <w:p>
            <w:pPr>
              <w:pStyle w:val="Compact"/>
              <w:jc w:val="right"/>
            </w:pPr>
            <w:r>
              <w:t xml:space="preserve">0.9608560</w:t>
            </w:r>
          </w:p>
        </w:tc>
        <w:tc>
          <w:p>
            <w:pPr>
              <w:pStyle w:val="Compact"/>
              <w:jc w:val="right"/>
            </w:pPr>
            <w:r>
              <w:t xml:space="preserve">0.4711081</w:t>
            </w:r>
          </w:p>
        </w:tc>
        <w:tc>
          <w:p>
            <w:pPr>
              <w:pStyle w:val="Compact"/>
              <w:jc w:val="right"/>
            </w:pPr>
            <w:r>
              <w:t xml:space="preserve">1.959729</w:t>
            </w:r>
          </w:p>
        </w:tc>
        <w:tc>
          <w:p>
            <w:pPr>
              <w:pStyle w:val="Compact"/>
              <w:jc w:val="right"/>
            </w:pPr>
            <w:r>
              <w:t xml:space="preserve">0.9125631</w:t>
            </w:r>
          </w:p>
        </w:tc>
      </w:tr>
    </w:tbl>
    <w:p>
      <w:pPr>
        <w:pStyle w:val="Heading2"/>
      </w:pPr>
      <w:bookmarkStart w:id="29" w:name="foxp3"/>
      <w:bookmarkEnd w:id="29"/>
      <w:r>
        <w:t xml:space="preserve">FoxP3</w:t>
      </w:r>
    </w:p>
    <w:p>
      <w:r>
        <w:rPr>
          <w:b/>
        </w:rPr>
        <w:t xml:space="preserve">Without Cohort</w:t>
      </w:r>
    </w:p>
    <w:tbl>
      <w:tblPr>
        <w:tblStyle w:val="TableNormal"/>
        <w:tblW w:type="pct" w:w="0.0"/>
      </w:tblPr>
      <w:tblGrid/>
      <w:tr>
        <w:tc>
          <w:tcPr>
            <w:tcBorders>
              <w:bottom w:val="single"/>
            </w:tcBorders>
            <w:vAlign w:val="bottom"/>
          </w:tcPr>
          <w:p>
            <w:pPr>
              <w:pStyle w:val="Compact"/>
              <w:jc w:val="right"/>
            </w:pPr>
            <w:r>
              <w:t xml:space="preserve">exp(coef)</w:t>
            </w:r>
          </w:p>
        </w:tc>
        <w:tc>
          <w:tcPr>
            <w:tcBorders>
              <w:bottom w:val="single"/>
            </w:tcBorders>
            <w:vAlign w:val="bottom"/>
          </w:tcPr>
          <w:p>
            <w:pPr>
              <w:pStyle w:val="Compact"/>
              <w:jc w:val="right"/>
            </w:pPr>
            <w:r>
              <w:t xml:space="preserve">lower .95</w:t>
            </w:r>
          </w:p>
        </w:tc>
        <w:tc>
          <w:tcPr>
            <w:tcBorders>
              <w:bottom w:val="single"/>
            </w:tcBorders>
            <w:vAlign w:val="bottom"/>
          </w:tcPr>
          <w:p>
            <w:pPr>
              <w:pStyle w:val="Compact"/>
              <w:jc w:val="right"/>
            </w:pPr>
            <w:r>
              <w:t xml:space="preserve">upper .95</w:t>
            </w:r>
          </w:p>
        </w:tc>
        <w:tc>
          <w:tcPr>
            <w:tcBorders>
              <w:bottom w:val="single"/>
            </w:tcBorders>
            <w:vAlign w:val="bottom"/>
          </w:tcPr>
          <w:p>
            <w:pPr>
              <w:pStyle w:val="Compact"/>
              <w:jc w:val="right"/>
            </w:pPr>
            <w:r>
              <w:t xml:space="preserve">Pr(&gt;|z|)</w:t>
            </w:r>
          </w:p>
        </w:tc>
      </w:tr>
      <w:tr>
        <w:tc>
          <w:p>
            <w:pPr>
              <w:pStyle w:val="Compact"/>
              <w:jc w:val="right"/>
            </w:pPr>
            <w:r>
              <w:t xml:space="preserve">0.99106</w:t>
            </w:r>
          </w:p>
        </w:tc>
        <w:tc>
          <w:p>
            <w:pPr>
              <w:pStyle w:val="Compact"/>
              <w:jc w:val="right"/>
            </w:pPr>
            <w:r>
              <w:t xml:space="preserve">0.8875</w:t>
            </w:r>
          </w:p>
        </w:tc>
        <w:tc>
          <w:p>
            <w:pPr>
              <w:pStyle w:val="Compact"/>
              <w:jc w:val="right"/>
            </w:pPr>
            <w:r>
              <w:t xml:space="preserve">1.1067</w:t>
            </w:r>
          </w:p>
        </w:tc>
        <w:tc>
          <w:p>
            <w:pPr>
              <w:pStyle w:val="Compact"/>
              <w:jc w:val="right"/>
            </w:pPr>
            <w:r>
              <w:t xml:space="preserve">0.87332</w:t>
            </w:r>
          </w:p>
        </w:tc>
      </w:tr>
    </w:tbl>
    <w:p>
      <w:r>
        <w:rPr>
          <w:b/>
        </w:rPr>
        <w:t xml:space="preserve">With Cohort</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exp(coef)</w:t>
            </w:r>
          </w:p>
        </w:tc>
        <w:tc>
          <w:tcPr>
            <w:tcBorders>
              <w:bottom w:val="single"/>
            </w:tcBorders>
            <w:vAlign w:val="bottom"/>
          </w:tcPr>
          <w:p>
            <w:pPr>
              <w:pStyle w:val="Compact"/>
              <w:jc w:val="right"/>
            </w:pPr>
            <w:r>
              <w:t xml:space="preserve">lower .95</w:t>
            </w:r>
          </w:p>
        </w:tc>
        <w:tc>
          <w:tcPr>
            <w:tcBorders>
              <w:bottom w:val="single"/>
            </w:tcBorders>
            <w:vAlign w:val="bottom"/>
          </w:tcPr>
          <w:p>
            <w:pPr>
              <w:pStyle w:val="Compact"/>
              <w:jc w:val="right"/>
            </w:pPr>
            <w:r>
              <w:t xml:space="preserve">upper .95</w:t>
            </w:r>
          </w:p>
        </w:tc>
        <w:tc>
          <w:tcPr>
            <w:tcBorders>
              <w:bottom w:val="single"/>
            </w:tcBorders>
            <w:vAlign w:val="bottom"/>
          </w:tcPr>
          <w:p>
            <w:pPr>
              <w:pStyle w:val="Compact"/>
              <w:jc w:val="right"/>
            </w:pPr>
            <w:r>
              <w:t xml:space="preserve">Pr(&gt;|z|)</w:t>
            </w:r>
          </w:p>
        </w:tc>
      </w:tr>
      <w:tr>
        <w:tc>
          <w:p>
            <w:pPr>
              <w:pStyle w:val="Compact"/>
              <w:jc w:val="left"/>
            </w:pPr>
            <w:r>
              <w:t xml:space="preserve">FoxP3</w:t>
            </w:r>
          </w:p>
        </w:tc>
        <w:tc>
          <w:p>
            <w:pPr>
              <w:pStyle w:val="Compact"/>
              <w:jc w:val="right"/>
            </w:pPr>
            <w:r>
              <w:t xml:space="preserve">1.028211</w:t>
            </w:r>
          </w:p>
        </w:tc>
        <w:tc>
          <w:p>
            <w:pPr>
              <w:pStyle w:val="Compact"/>
              <w:jc w:val="right"/>
            </w:pPr>
            <w:r>
              <w:t xml:space="preserve">0.9190627</w:t>
            </w:r>
          </w:p>
        </w:tc>
        <w:tc>
          <w:p>
            <w:pPr>
              <w:pStyle w:val="Compact"/>
              <w:jc w:val="right"/>
            </w:pPr>
            <w:r>
              <w:t xml:space="preserve">1.150322</w:t>
            </w:r>
          </w:p>
        </w:tc>
        <w:tc>
          <w:p>
            <w:pPr>
              <w:pStyle w:val="Compact"/>
              <w:jc w:val="right"/>
            </w:pPr>
            <w:r>
              <w:t xml:space="preserve">0.6270478</w:t>
            </w:r>
          </w:p>
        </w:tc>
      </w:tr>
      <w:tr>
        <w:tc>
          <w:p>
            <w:pPr>
              <w:pStyle w:val="Compact"/>
              <w:jc w:val="left"/>
            </w:pPr>
            <w:r>
              <w:t xml:space="preserve">CohortTGH</w:t>
            </w:r>
          </w:p>
        </w:tc>
        <w:tc>
          <w:p>
            <w:pPr>
              <w:pStyle w:val="Compact"/>
              <w:jc w:val="right"/>
            </w:pPr>
            <w:r>
              <w:t xml:space="preserve">2.025015</w:t>
            </w:r>
          </w:p>
        </w:tc>
        <w:tc>
          <w:p>
            <w:pPr>
              <w:pStyle w:val="Compact"/>
              <w:jc w:val="right"/>
            </w:pPr>
            <w:r>
              <w:t xml:space="preserve">1.1787275</w:t>
            </w:r>
          </w:p>
        </w:tc>
        <w:tc>
          <w:p>
            <w:pPr>
              <w:pStyle w:val="Compact"/>
              <w:jc w:val="right"/>
            </w:pPr>
            <w:r>
              <w:t xml:space="preserve">3.478909</w:t>
            </w:r>
          </w:p>
        </w:tc>
        <w:tc>
          <w:p>
            <w:pPr>
              <w:pStyle w:val="Compact"/>
              <w:jc w:val="right"/>
            </w:pPr>
            <w:r>
              <w:t xml:space="preserve">0.0106025</w:t>
            </w:r>
          </w:p>
        </w:tc>
      </w:tr>
      <w:tr>
        <w:tc>
          <w:p>
            <w:pPr>
              <w:pStyle w:val="Compact"/>
              <w:jc w:val="left"/>
            </w:pPr>
            <w:r>
              <w:t xml:space="preserve">CohortVNAC</w:t>
            </w:r>
          </w:p>
        </w:tc>
        <w:tc>
          <w:p>
            <w:pPr>
              <w:pStyle w:val="Compact"/>
              <w:jc w:val="right"/>
            </w:pPr>
            <w:r>
              <w:t xml:space="preserve">1.016846</w:t>
            </w:r>
          </w:p>
        </w:tc>
        <w:tc>
          <w:p>
            <w:pPr>
              <w:pStyle w:val="Compact"/>
              <w:jc w:val="right"/>
            </w:pPr>
            <w:r>
              <w:t xml:space="preserve">0.4980289</w:t>
            </w:r>
          </w:p>
        </w:tc>
        <w:tc>
          <w:p>
            <w:pPr>
              <w:pStyle w:val="Compact"/>
              <w:jc w:val="right"/>
            </w:pPr>
            <w:r>
              <w:t xml:space="preserve">2.076136</w:t>
            </w:r>
          </w:p>
        </w:tc>
        <w:tc>
          <w:p>
            <w:pPr>
              <w:pStyle w:val="Compact"/>
              <w:jc w:val="right"/>
            </w:pPr>
            <w:r>
              <w:t xml:space="preserve">0.9634136</w:t>
            </w:r>
          </w:p>
        </w:tc>
      </w:tr>
    </w:tbl>
    <w:p>
      <w:r>
        <w:t xml:space="preserve">None of the biomarkers are significant at any level when accounting for Cohort.</w:t>
      </w:r>
      <w:r>
        <w:t xml:space="preserve"> </w:t>
      </w:r>
      <w:r>
        <w:rPr>
          <w:b/>
        </w:rPr>
        <w:t xml:space="preserve">CD20</w:t>
      </w:r>
      <w:r>
        <w:t xml:space="preserve"> </w:t>
      </w:r>
      <w:r>
        <w:t xml:space="preserve">is significant at 10% level (and close to 5%), when we do not account for Cohort, however. It appears that the survival is only associated with whether the patient was followed at NAC or TGH.</w:t>
      </w:r>
    </w:p>
    <w:p>
      <w:pPr>
        <w:pStyle w:val="Heading1"/>
      </w:pPr>
      <w:bookmarkStart w:id="30" w:name="multivariable-analysis"/>
      <w:bookmarkEnd w:id="30"/>
      <w:r>
        <w:t xml:space="preserve">Multivariable Analysis</w:t>
      </w:r>
    </w:p>
    <w:p>
      <w:r>
        <w:t xml:space="preserve">This model includes all six biomarkers as predictors.</w:t>
      </w:r>
    </w:p>
    <w:p>
      <w:r>
        <w:rPr>
          <w:b/>
        </w:rPr>
        <w:t xml:space="preserve">Without Cohort</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exp(coef)</w:t>
            </w:r>
          </w:p>
        </w:tc>
        <w:tc>
          <w:tcPr>
            <w:tcBorders>
              <w:bottom w:val="single"/>
            </w:tcBorders>
            <w:vAlign w:val="bottom"/>
          </w:tcPr>
          <w:p>
            <w:pPr>
              <w:pStyle w:val="Compact"/>
              <w:jc w:val="right"/>
            </w:pPr>
            <w:r>
              <w:t xml:space="preserve">lower .95</w:t>
            </w:r>
          </w:p>
        </w:tc>
        <w:tc>
          <w:tcPr>
            <w:tcBorders>
              <w:bottom w:val="single"/>
            </w:tcBorders>
            <w:vAlign w:val="bottom"/>
          </w:tcPr>
          <w:p>
            <w:pPr>
              <w:pStyle w:val="Compact"/>
              <w:jc w:val="right"/>
            </w:pPr>
            <w:r>
              <w:t xml:space="preserve">upper .95</w:t>
            </w:r>
          </w:p>
        </w:tc>
        <w:tc>
          <w:tcPr>
            <w:tcBorders>
              <w:bottom w:val="single"/>
            </w:tcBorders>
            <w:vAlign w:val="bottom"/>
          </w:tcPr>
          <w:p>
            <w:pPr>
              <w:pStyle w:val="Compact"/>
              <w:jc w:val="right"/>
            </w:pPr>
            <w:r>
              <w:t xml:space="preserve">Pr(&gt;|z|)</w:t>
            </w:r>
          </w:p>
        </w:tc>
      </w:tr>
      <w:tr>
        <w:tc>
          <w:p>
            <w:pPr>
              <w:pStyle w:val="Compact"/>
              <w:jc w:val="left"/>
            </w:pPr>
            <w:r>
              <w:t xml:space="preserve">CD3</w:t>
            </w:r>
          </w:p>
        </w:tc>
        <w:tc>
          <w:p>
            <w:pPr>
              <w:pStyle w:val="Compact"/>
              <w:jc w:val="right"/>
            </w:pPr>
            <w:r>
              <w:t xml:space="preserve">1.0043102</w:t>
            </w:r>
          </w:p>
        </w:tc>
        <w:tc>
          <w:p>
            <w:pPr>
              <w:pStyle w:val="Compact"/>
              <w:jc w:val="right"/>
            </w:pPr>
            <w:r>
              <w:t xml:space="preserve">0.9890796</w:t>
            </w:r>
          </w:p>
        </w:tc>
        <w:tc>
          <w:p>
            <w:pPr>
              <w:pStyle w:val="Compact"/>
              <w:jc w:val="right"/>
            </w:pPr>
            <w:r>
              <w:t xml:space="preserve">1.019775</w:t>
            </w:r>
          </w:p>
        </w:tc>
        <w:tc>
          <w:p>
            <w:pPr>
              <w:pStyle w:val="Compact"/>
              <w:jc w:val="right"/>
            </w:pPr>
            <w:r>
              <w:t xml:space="preserve">0.5812024</w:t>
            </w:r>
          </w:p>
        </w:tc>
      </w:tr>
      <w:tr>
        <w:tc>
          <w:p>
            <w:pPr>
              <w:pStyle w:val="Compact"/>
              <w:jc w:val="left"/>
            </w:pPr>
            <w:r>
              <w:t xml:space="preserve">CD8</w:t>
            </w:r>
          </w:p>
        </w:tc>
        <w:tc>
          <w:p>
            <w:pPr>
              <w:pStyle w:val="Compact"/>
              <w:jc w:val="right"/>
            </w:pPr>
            <w:r>
              <w:t xml:space="preserve">0.9982362</w:t>
            </w:r>
          </w:p>
        </w:tc>
        <w:tc>
          <w:p>
            <w:pPr>
              <w:pStyle w:val="Compact"/>
              <w:jc w:val="right"/>
            </w:pPr>
            <w:r>
              <w:t xml:space="preserve">0.9754100</w:t>
            </w:r>
          </w:p>
        </w:tc>
        <w:tc>
          <w:p>
            <w:pPr>
              <w:pStyle w:val="Compact"/>
              <w:jc w:val="right"/>
            </w:pPr>
            <w:r>
              <w:t xml:space="preserve">1.021597</w:t>
            </w:r>
          </w:p>
        </w:tc>
        <w:tc>
          <w:p>
            <w:pPr>
              <w:pStyle w:val="Compact"/>
              <w:jc w:val="right"/>
            </w:pPr>
            <w:r>
              <w:t xml:space="preserve">0.8810959</w:t>
            </w:r>
          </w:p>
        </w:tc>
      </w:tr>
      <w:tr>
        <w:tc>
          <w:p>
            <w:pPr>
              <w:pStyle w:val="Compact"/>
              <w:jc w:val="left"/>
            </w:pPr>
            <w:r>
              <w:t xml:space="preserve">CD20</w:t>
            </w:r>
          </w:p>
        </w:tc>
        <w:tc>
          <w:p>
            <w:pPr>
              <w:pStyle w:val="Compact"/>
              <w:jc w:val="right"/>
            </w:pPr>
            <w:r>
              <w:t xml:space="preserve">0.7962271</w:t>
            </w:r>
          </w:p>
        </w:tc>
        <w:tc>
          <w:p>
            <w:pPr>
              <w:pStyle w:val="Compact"/>
              <w:jc w:val="right"/>
            </w:pPr>
            <w:r>
              <w:t xml:space="preserve">0.6223272</w:t>
            </w:r>
          </w:p>
        </w:tc>
        <w:tc>
          <w:p>
            <w:pPr>
              <w:pStyle w:val="Compact"/>
              <w:jc w:val="right"/>
            </w:pPr>
            <w:r>
              <w:t xml:space="preserve">1.018721</w:t>
            </w:r>
          </w:p>
        </w:tc>
        <w:tc>
          <w:p>
            <w:pPr>
              <w:pStyle w:val="Compact"/>
              <w:jc w:val="right"/>
            </w:pPr>
            <w:r>
              <w:t xml:space="preserve">0.0699183</w:t>
            </w:r>
          </w:p>
        </w:tc>
      </w:tr>
      <w:tr>
        <w:tc>
          <w:p>
            <w:pPr>
              <w:pStyle w:val="Compact"/>
              <w:jc w:val="left"/>
            </w:pPr>
            <w:r>
              <w:t xml:space="preserve">TIA.1</w:t>
            </w:r>
          </w:p>
        </w:tc>
        <w:tc>
          <w:p>
            <w:pPr>
              <w:pStyle w:val="Compact"/>
              <w:jc w:val="right"/>
            </w:pPr>
            <w:r>
              <w:t xml:space="preserve">1.0027522</w:t>
            </w:r>
          </w:p>
        </w:tc>
        <w:tc>
          <w:p>
            <w:pPr>
              <w:pStyle w:val="Compact"/>
              <w:jc w:val="right"/>
            </w:pPr>
            <w:r>
              <w:t xml:space="preserve">0.9664729</w:t>
            </w:r>
          </w:p>
        </w:tc>
        <w:tc>
          <w:p>
            <w:pPr>
              <w:pStyle w:val="Compact"/>
              <w:jc w:val="right"/>
            </w:pPr>
            <w:r>
              <w:t xml:space="preserve">1.040393</w:t>
            </w:r>
          </w:p>
        </w:tc>
        <w:tc>
          <w:p>
            <w:pPr>
              <w:pStyle w:val="Compact"/>
              <w:jc w:val="right"/>
            </w:pPr>
            <w:r>
              <w:t xml:space="preserve">0.8837785</w:t>
            </w:r>
          </w:p>
        </w:tc>
      </w:tr>
      <w:tr>
        <w:tc>
          <w:p>
            <w:pPr>
              <w:pStyle w:val="Compact"/>
              <w:jc w:val="left"/>
            </w:pPr>
            <w:r>
              <w:t xml:space="preserve">PD.1</w:t>
            </w:r>
          </w:p>
        </w:tc>
        <w:tc>
          <w:p>
            <w:pPr>
              <w:pStyle w:val="Compact"/>
              <w:jc w:val="right"/>
            </w:pPr>
            <w:r>
              <w:t xml:space="preserve">0.9696639</w:t>
            </w:r>
          </w:p>
        </w:tc>
        <w:tc>
          <w:p>
            <w:pPr>
              <w:pStyle w:val="Compact"/>
              <w:jc w:val="right"/>
            </w:pPr>
            <w:r>
              <w:t xml:space="preserve">0.8963341</w:t>
            </w:r>
          </w:p>
        </w:tc>
        <w:tc>
          <w:p>
            <w:pPr>
              <w:pStyle w:val="Compact"/>
              <w:jc w:val="right"/>
            </w:pPr>
            <w:r>
              <w:t xml:space="preserve">1.048993</w:t>
            </w:r>
          </w:p>
        </w:tc>
        <w:tc>
          <w:p>
            <w:pPr>
              <w:pStyle w:val="Compact"/>
              <w:jc w:val="right"/>
            </w:pPr>
            <w:r>
              <w:t xml:space="preserve">0.4425968</w:t>
            </w:r>
          </w:p>
        </w:tc>
      </w:tr>
      <w:tr>
        <w:tc>
          <w:p>
            <w:pPr>
              <w:pStyle w:val="Compact"/>
              <w:jc w:val="left"/>
            </w:pPr>
            <w:r>
              <w:t xml:space="preserve">FoxP3</w:t>
            </w:r>
          </w:p>
        </w:tc>
        <w:tc>
          <w:p>
            <w:pPr>
              <w:pStyle w:val="Compact"/>
              <w:jc w:val="right"/>
            </w:pPr>
            <w:r>
              <w:t xml:space="preserve">1.1227955</w:t>
            </w:r>
          </w:p>
        </w:tc>
        <w:tc>
          <w:p>
            <w:pPr>
              <w:pStyle w:val="Compact"/>
              <w:jc w:val="right"/>
            </w:pPr>
            <w:r>
              <w:t xml:space="preserve">0.9515110</w:t>
            </w:r>
          </w:p>
        </w:tc>
        <w:tc>
          <w:p>
            <w:pPr>
              <w:pStyle w:val="Compact"/>
              <w:jc w:val="right"/>
            </w:pPr>
            <w:r>
              <w:t xml:space="preserve">1.324914</w:t>
            </w:r>
          </w:p>
        </w:tc>
        <w:tc>
          <w:p>
            <w:pPr>
              <w:pStyle w:val="Compact"/>
              <w:jc w:val="right"/>
            </w:pPr>
            <w:r>
              <w:t xml:space="preserve">0.1702422</w:t>
            </w:r>
          </w:p>
        </w:tc>
      </w:tr>
    </w:tbl>
    <w:p>
      <w:r>
        <w:rPr>
          <w:b/>
        </w:rPr>
        <w:t xml:space="preserve">With Cohort</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exp(coef)</w:t>
            </w:r>
          </w:p>
        </w:tc>
        <w:tc>
          <w:tcPr>
            <w:tcBorders>
              <w:bottom w:val="single"/>
            </w:tcBorders>
            <w:vAlign w:val="bottom"/>
          </w:tcPr>
          <w:p>
            <w:pPr>
              <w:pStyle w:val="Compact"/>
              <w:jc w:val="right"/>
            </w:pPr>
            <w:r>
              <w:t xml:space="preserve">lower .95</w:t>
            </w:r>
          </w:p>
        </w:tc>
        <w:tc>
          <w:tcPr>
            <w:tcBorders>
              <w:bottom w:val="single"/>
            </w:tcBorders>
            <w:vAlign w:val="bottom"/>
          </w:tcPr>
          <w:p>
            <w:pPr>
              <w:pStyle w:val="Compact"/>
              <w:jc w:val="right"/>
            </w:pPr>
            <w:r>
              <w:t xml:space="preserve">upper .95</w:t>
            </w:r>
          </w:p>
        </w:tc>
        <w:tc>
          <w:tcPr>
            <w:tcBorders>
              <w:bottom w:val="single"/>
            </w:tcBorders>
            <w:vAlign w:val="bottom"/>
          </w:tcPr>
          <w:p>
            <w:pPr>
              <w:pStyle w:val="Compact"/>
              <w:jc w:val="right"/>
            </w:pPr>
            <w:r>
              <w:t xml:space="preserve">Pr(&gt;|z|)</w:t>
            </w:r>
          </w:p>
        </w:tc>
      </w:tr>
      <w:tr>
        <w:tc>
          <w:p>
            <w:pPr>
              <w:pStyle w:val="Compact"/>
              <w:jc w:val="left"/>
            </w:pPr>
            <w:r>
              <w:t xml:space="preserve">CD3</w:t>
            </w:r>
          </w:p>
        </w:tc>
        <w:tc>
          <w:p>
            <w:pPr>
              <w:pStyle w:val="Compact"/>
              <w:jc w:val="right"/>
            </w:pPr>
            <w:r>
              <w:t xml:space="preserve">1.0033316</w:t>
            </w:r>
          </w:p>
        </w:tc>
        <w:tc>
          <w:p>
            <w:pPr>
              <w:pStyle w:val="Compact"/>
              <w:jc w:val="right"/>
            </w:pPr>
            <w:r>
              <w:t xml:space="preserve">0.9880922</w:t>
            </w:r>
          </w:p>
        </w:tc>
        <w:tc>
          <w:p>
            <w:pPr>
              <w:pStyle w:val="Compact"/>
              <w:jc w:val="right"/>
            </w:pPr>
            <w:r>
              <w:t xml:space="preserve">1.018806</w:t>
            </w:r>
          </w:p>
        </w:tc>
        <w:tc>
          <w:p>
            <w:pPr>
              <w:pStyle w:val="Compact"/>
              <w:jc w:val="right"/>
            </w:pPr>
            <w:r>
              <w:t xml:space="preserve">0.6701596</w:t>
            </w:r>
          </w:p>
        </w:tc>
      </w:tr>
      <w:tr>
        <w:tc>
          <w:p>
            <w:pPr>
              <w:pStyle w:val="Compact"/>
              <w:jc w:val="left"/>
            </w:pPr>
            <w:r>
              <w:t xml:space="preserve">CD8</w:t>
            </w:r>
          </w:p>
        </w:tc>
        <w:tc>
          <w:p>
            <w:pPr>
              <w:pStyle w:val="Compact"/>
              <w:jc w:val="right"/>
            </w:pPr>
            <w:r>
              <w:t xml:space="preserve">1.0034483</w:t>
            </w:r>
          </w:p>
        </w:tc>
        <w:tc>
          <w:p>
            <w:pPr>
              <w:pStyle w:val="Compact"/>
              <w:jc w:val="right"/>
            </w:pPr>
            <w:r>
              <w:t xml:space="preserve">0.9821510</w:t>
            </w:r>
          </w:p>
        </w:tc>
        <w:tc>
          <w:p>
            <w:pPr>
              <w:pStyle w:val="Compact"/>
              <w:jc w:val="right"/>
            </w:pPr>
            <w:r>
              <w:t xml:space="preserve">1.025207</w:t>
            </w:r>
          </w:p>
        </w:tc>
        <w:tc>
          <w:p>
            <w:pPr>
              <w:pStyle w:val="Compact"/>
              <w:jc w:val="right"/>
            </w:pPr>
            <w:r>
              <w:t xml:space="preserve">0.7531376</w:t>
            </w:r>
          </w:p>
        </w:tc>
      </w:tr>
      <w:tr>
        <w:tc>
          <w:p>
            <w:pPr>
              <w:pStyle w:val="Compact"/>
              <w:jc w:val="left"/>
            </w:pPr>
            <w:r>
              <w:t xml:space="preserve">CD20</w:t>
            </w:r>
          </w:p>
        </w:tc>
        <w:tc>
          <w:p>
            <w:pPr>
              <w:pStyle w:val="Compact"/>
              <w:jc w:val="right"/>
            </w:pPr>
            <w:r>
              <w:t xml:space="preserve">0.8046771</w:t>
            </w:r>
          </w:p>
        </w:tc>
        <w:tc>
          <w:p>
            <w:pPr>
              <w:pStyle w:val="Compact"/>
              <w:jc w:val="right"/>
            </w:pPr>
            <w:r>
              <w:t xml:space="preserve">0.6226077</w:t>
            </w:r>
          </w:p>
        </w:tc>
        <w:tc>
          <w:p>
            <w:pPr>
              <w:pStyle w:val="Compact"/>
              <w:jc w:val="right"/>
            </w:pPr>
            <w:r>
              <w:t xml:space="preserve">1.039989</w:t>
            </w:r>
          </w:p>
        </w:tc>
        <w:tc>
          <w:p>
            <w:pPr>
              <w:pStyle w:val="Compact"/>
              <w:jc w:val="right"/>
            </w:pPr>
            <w:r>
              <w:t xml:space="preserve">0.0968381</w:t>
            </w:r>
          </w:p>
        </w:tc>
      </w:tr>
      <w:tr>
        <w:tc>
          <w:p>
            <w:pPr>
              <w:pStyle w:val="Compact"/>
              <w:jc w:val="left"/>
            </w:pPr>
            <w:r>
              <w:t xml:space="preserve">TIA.1</w:t>
            </w:r>
          </w:p>
        </w:tc>
        <w:tc>
          <w:p>
            <w:pPr>
              <w:pStyle w:val="Compact"/>
              <w:jc w:val="right"/>
            </w:pPr>
            <w:r>
              <w:t xml:space="preserve">0.9897095</w:t>
            </w:r>
          </w:p>
        </w:tc>
        <w:tc>
          <w:p>
            <w:pPr>
              <w:pStyle w:val="Compact"/>
              <w:jc w:val="right"/>
            </w:pPr>
            <w:r>
              <w:t xml:space="preserve">0.9495211</w:t>
            </w:r>
          </w:p>
        </w:tc>
        <w:tc>
          <w:p>
            <w:pPr>
              <w:pStyle w:val="Compact"/>
              <w:jc w:val="right"/>
            </w:pPr>
            <w:r>
              <w:t xml:space="preserve">1.031599</w:t>
            </w:r>
          </w:p>
        </w:tc>
        <w:tc>
          <w:p>
            <w:pPr>
              <w:pStyle w:val="Compact"/>
              <w:jc w:val="right"/>
            </w:pPr>
            <w:r>
              <w:t xml:space="preserve">0.6247947</w:t>
            </w:r>
          </w:p>
        </w:tc>
      </w:tr>
      <w:tr>
        <w:tc>
          <w:p>
            <w:pPr>
              <w:pStyle w:val="Compact"/>
              <w:jc w:val="left"/>
            </w:pPr>
            <w:r>
              <w:t xml:space="preserve">PD.1</w:t>
            </w:r>
          </w:p>
        </w:tc>
        <w:tc>
          <w:p>
            <w:pPr>
              <w:pStyle w:val="Compact"/>
              <w:jc w:val="right"/>
            </w:pPr>
            <w:r>
              <w:t xml:space="preserve">0.9856657</w:t>
            </w:r>
          </w:p>
        </w:tc>
        <w:tc>
          <w:p>
            <w:pPr>
              <w:pStyle w:val="Compact"/>
              <w:jc w:val="right"/>
            </w:pPr>
            <w:r>
              <w:t xml:space="preserve">0.9124864</w:t>
            </w:r>
          </w:p>
        </w:tc>
        <w:tc>
          <w:p>
            <w:pPr>
              <w:pStyle w:val="Compact"/>
              <w:jc w:val="right"/>
            </w:pPr>
            <w:r>
              <w:t xml:space="preserve">1.064714</w:t>
            </w:r>
          </w:p>
        </w:tc>
        <w:tc>
          <w:p>
            <w:pPr>
              <w:pStyle w:val="Compact"/>
              <w:jc w:val="right"/>
            </w:pPr>
            <w:r>
              <w:t xml:space="preserve">0.7137528</w:t>
            </w:r>
          </w:p>
        </w:tc>
      </w:tr>
      <w:tr>
        <w:tc>
          <w:p>
            <w:pPr>
              <w:pStyle w:val="Compact"/>
              <w:jc w:val="left"/>
            </w:pPr>
            <w:r>
              <w:t xml:space="preserve">FoxP3</w:t>
            </w:r>
          </w:p>
        </w:tc>
        <w:tc>
          <w:p>
            <w:pPr>
              <w:pStyle w:val="Compact"/>
              <w:jc w:val="right"/>
            </w:pPr>
            <w:r>
              <w:t xml:space="preserve">1.1422222</w:t>
            </w:r>
          </w:p>
        </w:tc>
        <w:tc>
          <w:p>
            <w:pPr>
              <w:pStyle w:val="Compact"/>
              <w:jc w:val="right"/>
            </w:pPr>
            <w:r>
              <w:t xml:space="preserve">0.9526503</w:t>
            </w:r>
          </w:p>
        </w:tc>
        <w:tc>
          <w:p>
            <w:pPr>
              <w:pStyle w:val="Compact"/>
              <w:jc w:val="right"/>
            </w:pPr>
            <w:r>
              <w:t xml:space="preserve">1.369518</w:t>
            </w:r>
          </w:p>
        </w:tc>
        <w:tc>
          <w:p>
            <w:pPr>
              <w:pStyle w:val="Compact"/>
              <w:jc w:val="right"/>
            </w:pPr>
            <w:r>
              <w:t xml:space="preserve">0.1509743</w:t>
            </w:r>
          </w:p>
        </w:tc>
      </w:tr>
      <w:tr>
        <w:tc>
          <w:p>
            <w:pPr>
              <w:pStyle w:val="Compact"/>
              <w:jc w:val="left"/>
            </w:pPr>
            <w:r>
              <w:t xml:space="preserve">CohortTGH</w:t>
            </w:r>
          </w:p>
        </w:tc>
        <w:tc>
          <w:p>
            <w:pPr>
              <w:pStyle w:val="Compact"/>
              <w:jc w:val="right"/>
            </w:pPr>
            <w:r>
              <w:t xml:space="preserve">1.8456846</w:t>
            </w:r>
          </w:p>
        </w:tc>
        <w:tc>
          <w:p>
            <w:pPr>
              <w:pStyle w:val="Compact"/>
              <w:jc w:val="right"/>
            </w:pPr>
            <w:r>
              <w:t xml:space="preserve">0.9855445</w:t>
            </w:r>
          </w:p>
        </w:tc>
        <w:tc>
          <w:p>
            <w:pPr>
              <w:pStyle w:val="Compact"/>
              <w:jc w:val="right"/>
            </w:pPr>
            <w:r>
              <w:t xml:space="preserve">3.456517</w:t>
            </w:r>
          </w:p>
        </w:tc>
        <w:tc>
          <w:p>
            <w:pPr>
              <w:pStyle w:val="Compact"/>
              <w:jc w:val="right"/>
            </w:pPr>
            <w:r>
              <w:t xml:space="preserve">0.0555592</w:t>
            </w:r>
          </w:p>
        </w:tc>
      </w:tr>
      <w:tr>
        <w:tc>
          <w:p>
            <w:pPr>
              <w:pStyle w:val="Compact"/>
              <w:jc w:val="left"/>
            </w:pPr>
            <w:r>
              <w:t xml:space="preserve">CohortVNAC</w:t>
            </w:r>
          </w:p>
        </w:tc>
        <w:tc>
          <w:p>
            <w:pPr>
              <w:pStyle w:val="Compact"/>
              <w:jc w:val="right"/>
            </w:pPr>
            <w:r>
              <w:t xml:space="preserve">1.3358712</w:t>
            </w:r>
          </w:p>
        </w:tc>
        <w:tc>
          <w:p>
            <w:pPr>
              <w:pStyle w:val="Compact"/>
              <w:jc w:val="right"/>
            </w:pPr>
            <w:r>
              <w:t xml:space="preserve">0.5827407</w:t>
            </w:r>
          </w:p>
        </w:tc>
        <w:tc>
          <w:p>
            <w:pPr>
              <w:pStyle w:val="Compact"/>
              <w:jc w:val="right"/>
            </w:pPr>
            <w:r>
              <w:t xml:space="preserve">3.062343</w:t>
            </w:r>
          </w:p>
        </w:tc>
        <w:tc>
          <w:p>
            <w:pPr>
              <w:pStyle w:val="Compact"/>
              <w:jc w:val="right"/>
            </w:pPr>
            <w:r>
              <w:t xml:space="preserve">0.4938767</w:t>
            </w:r>
          </w:p>
        </w:tc>
      </w:tr>
    </w:tbl>
    <w:p>
      <w:r>
        <w:t xml:space="preserve">When accounting for all the biomarkers in the model along with cohort, we see that</w:t>
      </w:r>
      <w:r>
        <w:t xml:space="preserve"> </w:t>
      </w:r>
      <w:r>
        <w:rPr>
          <w:b/>
        </w:rPr>
        <w:t xml:space="preserve">CD20</w:t>
      </w:r>
      <w:r>
        <w:t xml:space="preserve"> </w:t>
      </w:r>
      <w:r>
        <w:t xml:space="preserve">is significant at the 10% level. More importantly, its hazard ratio is concordant with what we would expect: a one unit increase in the biomarker density is associated with a 0.80468 times change in hazard. That is, the biomarker has a protective effect.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fa793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Overall Survival from Neoadjuvant Treatment</dc:title>
  <dc:creator>Derek Chiu</dc:creator>
  <dcterms:created xsi:type="dcterms:W3CDTF">2015-06-25</dcterms:created>
  <dcterms:modified xsi:type="dcterms:W3CDTF">2015-06-25</dcterms:modified>
</cp:coreProperties>
</file>