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Overall</w:t>
      </w:r>
      <w:r>
        <w:t xml:space="preserve"> </w:t>
      </w:r>
      <w:r>
        <w:t xml:space="preserve">Survival</w:t>
      </w:r>
      <w:r>
        <w:t xml:space="preserve"> </w:t>
      </w:r>
      <w:r>
        <w:t xml:space="preserve">from</w:t>
      </w:r>
      <w:r>
        <w:t xml:space="preserve"> </w:t>
      </w:r>
      <w:r>
        <w:t xml:space="preserve">Neoadjuvant</w:t>
      </w:r>
      <w:r>
        <w:t xml:space="preserve"> </w:t>
      </w:r>
      <w:r>
        <w:t xml:space="preserve">Treatment</w:t>
      </w:r>
    </w:p>
    <w:p>
      <w:pPr>
        <w:pStyle w:val="Author"/>
      </w:pPr>
      <w:r>
        <w:t xml:space="preserve">Derek</w:t>
      </w:r>
      <w:r>
        <w:t xml:space="preserve"> </w:t>
      </w:r>
      <w:r>
        <w:t xml:space="preserve">Chiu</w:t>
      </w:r>
    </w:p>
    <w:p>
      <w:pPr>
        <w:pStyle w:val="Date"/>
      </w:pPr>
      <w:r>
        <w:t xml:space="preserve">June</w:t>
      </w:r>
      <w:r>
        <w:t xml:space="preserve"> </w:t>
      </w:r>
      <w:r>
        <w:t xml:space="preserve">25,</w:t>
      </w:r>
      <w:r>
        <w:t xml:space="preserve"> </w:t>
      </w:r>
      <w:r>
        <w:t xml:space="preserve">2015</w:t>
      </w:r>
    </w:p>
    <w:p>
      <w:pPr>
        <w:pStyle w:val="Heading1"/>
      </w:pPr>
      <w:bookmarkStart w:id="21" w:name="introduction"/>
      <w:bookmarkEnd w:id="21"/>
      <w:r>
        <w:t xml:space="preserve">Introduction</w:t>
      </w:r>
    </w:p>
    <w:p>
      <w:r>
        <w:t xml:space="preserve">There are six biomarkers, each of which can be used as predictors in Cox proportional hazard models for overall survival of patients undergoing neoadjuvant treatment. They are measured in densities, and are hypothesized to improve survival.</w:t>
      </w:r>
    </w:p>
    <w:p>
      <w:pPr>
        <w:pStyle w:val="Heading1"/>
      </w:pPr>
      <w:bookmarkStart w:id="22" w:name="exploratory-analysis"/>
      <w:bookmarkEnd w:id="22"/>
      <w:r>
        <w:t xml:space="preserve">Exploratory Analysis</w:t>
      </w:r>
    </w:p>
    <w:p>
      <w:r>
        <w:t xml:space="preserve">Before we begin the Cox modeling, it is important to verify that the cohorts do not vary substantially in terms of their time of follow up. This can be a potential confounder: if a certain cohort was followed up for a longer time compared to another cohort, then a group of patients with better survival might be explained by the cohort they were in and not by the biomarker densities.</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3.58333</w:t>
            </w:r>
          </w:p>
        </w:tc>
        <w:tc>
          <w:p>
            <w:pPr>
              <w:pStyle w:val="Compact"/>
              <w:jc w:val="right"/>
            </w:pPr>
            <w:r>
              <w:t xml:space="preserve">0.30680</w:t>
            </w:r>
          </w:p>
        </w:tc>
        <w:tc>
          <w:p>
            <w:pPr>
              <w:pStyle w:val="Compact"/>
              <w:jc w:val="right"/>
            </w:pPr>
            <w:r>
              <w:t xml:space="preserve">11.67963</w:t>
            </w:r>
          </w:p>
        </w:tc>
        <w:tc>
          <w:p>
            <w:pPr>
              <w:pStyle w:val="Compact"/>
              <w:jc w:val="right"/>
            </w:pPr>
            <w:r>
              <w:t xml:space="preserve">0.00000</w:t>
            </w:r>
          </w:p>
        </w:tc>
      </w:tr>
      <w:tr>
        <w:tc>
          <w:p>
            <w:pPr>
              <w:pStyle w:val="Compact"/>
              <w:jc w:val="left"/>
            </w:pPr>
            <w:r>
              <w:t xml:space="preserve">CohortTGH</w:t>
            </w:r>
          </w:p>
        </w:tc>
        <w:tc>
          <w:p>
            <w:pPr>
              <w:pStyle w:val="Compact"/>
              <w:jc w:val="right"/>
            </w:pPr>
            <w:r>
              <w:t xml:space="preserve">-1.02899</w:t>
            </w:r>
          </w:p>
        </w:tc>
        <w:tc>
          <w:p>
            <w:pPr>
              <w:pStyle w:val="Compact"/>
              <w:jc w:val="right"/>
            </w:pPr>
            <w:r>
              <w:t xml:space="preserve">0.42914</w:t>
            </w:r>
          </w:p>
        </w:tc>
        <w:tc>
          <w:p>
            <w:pPr>
              <w:pStyle w:val="Compact"/>
              <w:jc w:val="right"/>
            </w:pPr>
            <w:r>
              <w:t xml:space="preserve">-2.39778</w:t>
            </w:r>
          </w:p>
        </w:tc>
        <w:tc>
          <w:p>
            <w:pPr>
              <w:pStyle w:val="Compact"/>
              <w:jc w:val="right"/>
            </w:pPr>
            <w:r>
              <w:t xml:space="preserve">0.01861</w:t>
            </w:r>
          </w:p>
        </w:tc>
      </w:tr>
    </w:tbl>
    <w:p>
      <w:r>
        <w:t xml:space="preserve">The reference group is the NAC cohort. We see that the average follow-up time at NAC is significantly greater than the follow-up time at TGH. Therefore, we should include</w:t>
      </w:r>
      <w:r>
        <w:t xml:space="preserve"> </w:t>
      </w:r>
      <w:r>
        <w:rPr>
          <w:b/>
        </w:rPr>
        <w:t xml:space="preserve">Cohort</w:t>
      </w:r>
      <w:r>
        <w:t xml:space="preserve"> </w:t>
      </w:r>
      <w:r>
        <w:t xml:space="preserve">as a covariate in our models to account for its variation in follow-up time.</w:t>
      </w:r>
    </w:p>
    <w:p>
      <w:pPr>
        <w:pStyle w:val="Heading1"/>
      </w:pPr>
      <w:bookmarkStart w:id="23" w:name="univariable-analysis"/>
      <w:bookmarkEnd w:id="23"/>
      <w:r>
        <w:t xml:space="preserve">Univariable Analysis</w:t>
      </w:r>
    </w:p>
    <w:p>
      <w:r>
        <w:t xml:space="preserve">We run 12 models, two for each of the six biomarkers in a univariable analysis, one that includes cohort and one that excludes cohort as a covariate.</w:t>
      </w:r>
    </w:p>
    <w:p>
      <w:pPr>
        <w:pStyle w:val="Heading2"/>
      </w:pPr>
      <w:bookmarkStart w:id="24" w:name="cd3"/>
      <w:bookmarkEnd w:id="24"/>
      <w:r>
        <w:t xml:space="preserve">CD3</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0.99644</w:t>
            </w:r>
          </w:p>
        </w:tc>
        <w:tc>
          <w:p>
            <w:pPr>
              <w:pStyle w:val="Compact"/>
              <w:jc w:val="right"/>
            </w:pPr>
            <w:r>
              <w:t xml:space="preserve">0.98626</w:t>
            </w:r>
          </w:p>
        </w:tc>
        <w:tc>
          <w:p>
            <w:pPr>
              <w:pStyle w:val="Compact"/>
              <w:jc w:val="right"/>
            </w:pPr>
            <w:r>
              <w:t xml:space="preserve">1.00673</w:t>
            </w:r>
          </w:p>
        </w:tc>
        <w:tc>
          <w:p>
            <w:pPr>
              <w:pStyle w:val="Compact"/>
              <w:jc w:val="right"/>
            </w:pPr>
            <w:r>
              <w:t xml:space="preserve">0.49658</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CD3</w:t>
            </w:r>
          </w:p>
        </w:tc>
        <w:tc>
          <w:p>
            <w:pPr>
              <w:pStyle w:val="Compact"/>
              <w:jc w:val="right"/>
            </w:pPr>
            <w:r>
              <w:t xml:space="preserve">0.9982903</w:t>
            </w:r>
          </w:p>
        </w:tc>
        <w:tc>
          <w:p>
            <w:pPr>
              <w:pStyle w:val="Compact"/>
              <w:jc w:val="right"/>
            </w:pPr>
            <w:r>
              <w:t xml:space="preserve">0.9882596</w:t>
            </w:r>
          </w:p>
        </w:tc>
        <w:tc>
          <w:p>
            <w:pPr>
              <w:pStyle w:val="Compact"/>
              <w:jc w:val="right"/>
            </w:pPr>
            <w:r>
              <w:t xml:space="preserve">1.008423</w:t>
            </w:r>
          </w:p>
        </w:tc>
        <w:tc>
          <w:p>
            <w:pPr>
              <w:pStyle w:val="Compact"/>
              <w:jc w:val="right"/>
            </w:pPr>
            <w:r>
              <w:t xml:space="preserve">0.7398031</w:t>
            </w:r>
          </w:p>
        </w:tc>
      </w:tr>
      <w:tr>
        <w:tc>
          <w:p>
            <w:pPr>
              <w:pStyle w:val="Compact"/>
              <w:jc w:val="left"/>
            </w:pPr>
            <w:r>
              <w:t xml:space="preserve">CohortTGH</w:t>
            </w:r>
          </w:p>
        </w:tc>
        <w:tc>
          <w:p>
            <w:pPr>
              <w:pStyle w:val="Compact"/>
              <w:jc w:val="right"/>
            </w:pPr>
            <w:r>
              <w:t xml:space="preserve">1.8249899</w:t>
            </w:r>
          </w:p>
        </w:tc>
        <w:tc>
          <w:p>
            <w:pPr>
              <w:pStyle w:val="Compact"/>
              <w:jc w:val="right"/>
            </w:pPr>
            <w:r>
              <w:t xml:space="preserve">1.1504945</w:t>
            </w:r>
          </w:p>
        </w:tc>
        <w:tc>
          <w:p>
            <w:pPr>
              <w:pStyle w:val="Compact"/>
              <w:jc w:val="right"/>
            </w:pPr>
            <w:r>
              <w:t xml:space="preserve">2.894919</w:t>
            </w:r>
          </w:p>
        </w:tc>
        <w:tc>
          <w:p>
            <w:pPr>
              <w:pStyle w:val="Compact"/>
              <w:jc w:val="right"/>
            </w:pPr>
            <w:r>
              <w:t xml:space="preserve">0.0106035</w:t>
            </w:r>
          </w:p>
        </w:tc>
      </w:tr>
    </w:tbl>
    <w:p>
      <w:pPr>
        <w:pStyle w:val="Heading2"/>
      </w:pPr>
      <w:bookmarkStart w:id="25" w:name="cd8"/>
      <w:bookmarkEnd w:id="25"/>
      <w:r>
        <w:t xml:space="preserve">CD8</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0.9938</w:t>
            </w:r>
          </w:p>
        </w:tc>
        <w:tc>
          <w:p>
            <w:pPr>
              <w:pStyle w:val="Compact"/>
              <w:jc w:val="right"/>
            </w:pPr>
            <w:r>
              <w:t xml:space="preserve">0.97915</w:t>
            </w:r>
          </w:p>
        </w:tc>
        <w:tc>
          <w:p>
            <w:pPr>
              <w:pStyle w:val="Compact"/>
              <w:jc w:val="right"/>
            </w:pPr>
            <w:r>
              <w:t xml:space="preserve">1.00867</w:t>
            </w:r>
          </w:p>
        </w:tc>
        <w:tc>
          <w:p>
            <w:pPr>
              <w:pStyle w:val="Compact"/>
              <w:jc w:val="right"/>
            </w:pPr>
            <w:r>
              <w:t xml:space="preserve">0.41209</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CD8</w:t>
            </w:r>
          </w:p>
        </w:tc>
        <w:tc>
          <w:p>
            <w:pPr>
              <w:pStyle w:val="Compact"/>
              <w:jc w:val="right"/>
            </w:pPr>
            <w:r>
              <w:t xml:space="preserve">0.9993018</w:t>
            </w:r>
          </w:p>
        </w:tc>
        <w:tc>
          <w:p>
            <w:pPr>
              <w:pStyle w:val="Compact"/>
              <w:jc w:val="right"/>
            </w:pPr>
            <w:r>
              <w:t xml:space="preserve">0.9847921</w:t>
            </w:r>
          </w:p>
        </w:tc>
        <w:tc>
          <w:p>
            <w:pPr>
              <w:pStyle w:val="Compact"/>
              <w:jc w:val="right"/>
            </w:pPr>
            <w:r>
              <w:t xml:space="preserve">1.014025</w:t>
            </w:r>
          </w:p>
        </w:tc>
        <w:tc>
          <w:p>
            <w:pPr>
              <w:pStyle w:val="Compact"/>
              <w:jc w:val="right"/>
            </w:pPr>
            <w:r>
              <w:t xml:space="preserve">0.9254373</w:t>
            </w:r>
          </w:p>
        </w:tc>
      </w:tr>
      <w:tr>
        <w:tc>
          <w:p>
            <w:pPr>
              <w:pStyle w:val="Compact"/>
              <w:jc w:val="left"/>
            </w:pPr>
            <w:r>
              <w:t xml:space="preserve">CohortTGH</w:t>
            </w:r>
          </w:p>
        </w:tc>
        <w:tc>
          <w:p>
            <w:pPr>
              <w:pStyle w:val="Compact"/>
              <w:jc w:val="right"/>
            </w:pPr>
            <w:r>
              <w:t xml:space="preserve">1.8331244</w:t>
            </w:r>
          </w:p>
        </w:tc>
        <w:tc>
          <w:p>
            <w:pPr>
              <w:pStyle w:val="Compact"/>
              <w:jc w:val="right"/>
            </w:pPr>
            <w:r>
              <w:t xml:space="preserve">1.1345741</w:t>
            </w:r>
          </w:p>
        </w:tc>
        <w:tc>
          <w:p>
            <w:pPr>
              <w:pStyle w:val="Compact"/>
              <w:jc w:val="right"/>
            </w:pPr>
            <w:r>
              <w:t xml:space="preserve">2.961768</w:t>
            </w:r>
          </w:p>
        </w:tc>
        <w:tc>
          <w:p>
            <w:pPr>
              <w:pStyle w:val="Compact"/>
              <w:jc w:val="right"/>
            </w:pPr>
            <w:r>
              <w:t xml:space="preserve">0.0132954</w:t>
            </w:r>
          </w:p>
        </w:tc>
      </w:tr>
    </w:tbl>
    <w:p>
      <w:pPr>
        <w:pStyle w:val="Heading2"/>
      </w:pPr>
      <w:bookmarkStart w:id="26" w:name="cd20"/>
      <w:bookmarkEnd w:id="26"/>
      <w:r>
        <w:t xml:space="preserve">CD20</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0.84173</w:t>
            </w:r>
          </w:p>
        </w:tc>
        <w:tc>
          <w:p>
            <w:pPr>
              <w:pStyle w:val="Compact"/>
              <w:jc w:val="right"/>
            </w:pPr>
            <w:r>
              <w:t xml:space="preserve">0.71037</w:t>
            </w:r>
          </w:p>
        </w:tc>
        <w:tc>
          <w:p>
            <w:pPr>
              <w:pStyle w:val="Compact"/>
              <w:jc w:val="right"/>
            </w:pPr>
            <w:r>
              <w:t xml:space="preserve">0.99738</w:t>
            </w:r>
          </w:p>
        </w:tc>
        <w:tc>
          <w:p>
            <w:pPr>
              <w:pStyle w:val="Compact"/>
              <w:jc w:val="right"/>
            </w:pPr>
            <w:r>
              <w:t xml:space="preserve">0.04656</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CD20</w:t>
            </w:r>
          </w:p>
        </w:tc>
        <w:tc>
          <w:p>
            <w:pPr>
              <w:pStyle w:val="Compact"/>
              <w:jc w:val="right"/>
            </w:pPr>
            <w:r>
              <w:t xml:space="preserve">0.8886736</w:t>
            </w:r>
          </w:p>
        </w:tc>
        <w:tc>
          <w:p>
            <w:pPr>
              <w:pStyle w:val="Compact"/>
              <w:jc w:val="right"/>
            </w:pPr>
            <w:r>
              <w:t xml:space="preserve">0.7492657</w:t>
            </w:r>
          </w:p>
        </w:tc>
        <w:tc>
          <w:p>
            <w:pPr>
              <w:pStyle w:val="Compact"/>
              <w:jc w:val="right"/>
            </w:pPr>
            <w:r>
              <w:t xml:space="preserve">1.054020</w:t>
            </w:r>
          </w:p>
        </w:tc>
        <w:tc>
          <w:p>
            <w:pPr>
              <w:pStyle w:val="Compact"/>
              <w:jc w:val="right"/>
            </w:pPr>
            <w:r>
              <w:t xml:space="preserve">0.1752066</w:t>
            </w:r>
          </w:p>
        </w:tc>
      </w:tr>
      <w:tr>
        <w:tc>
          <w:p>
            <w:pPr>
              <w:pStyle w:val="Compact"/>
              <w:jc w:val="left"/>
            </w:pPr>
            <w:r>
              <w:t xml:space="preserve">CohortTGH</w:t>
            </w:r>
          </w:p>
        </w:tc>
        <w:tc>
          <w:p>
            <w:pPr>
              <w:pStyle w:val="Compact"/>
              <w:jc w:val="right"/>
            </w:pPr>
            <w:r>
              <w:t xml:space="preserve">1.6204351</w:t>
            </w:r>
          </w:p>
        </w:tc>
        <w:tc>
          <w:p>
            <w:pPr>
              <w:pStyle w:val="Compact"/>
              <w:jc w:val="right"/>
            </w:pPr>
            <w:r>
              <w:t xml:space="preserve">1.0008009</w:t>
            </w:r>
          </w:p>
        </w:tc>
        <w:tc>
          <w:p>
            <w:pPr>
              <w:pStyle w:val="Compact"/>
              <w:jc w:val="right"/>
            </w:pPr>
            <w:r>
              <w:t xml:space="preserve">2.623709</w:t>
            </w:r>
          </w:p>
        </w:tc>
        <w:tc>
          <w:p>
            <w:pPr>
              <w:pStyle w:val="Compact"/>
              <w:jc w:val="right"/>
            </w:pPr>
            <w:r>
              <w:t xml:space="preserve">0.0496206</w:t>
            </w:r>
          </w:p>
        </w:tc>
      </w:tr>
    </w:tbl>
    <w:p>
      <w:pPr>
        <w:pStyle w:val="Heading2"/>
      </w:pPr>
      <w:bookmarkStart w:id="27" w:name="tia.1"/>
      <w:bookmarkEnd w:id="27"/>
      <w:r>
        <w:t xml:space="preserve">TIA.1</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1.00042</w:t>
            </w:r>
          </w:p>
        </w:tc>
        <w:tc>
          <w:p>
            <w:pPr>
              <w:pStyle w:val="Compact"/>
              <w:jc w:val="right"/>
            </w:pPr>
            <w:r>
              <w:t xml:space="preserve">0.97348</w:t>
            </w:r>
          </w:p>
        </w:tc>
        <w:tc>
          <w:p>
            <w:pPr>
              <w:pStyle w:val="Compact"/>
              <w:jc w:val="right"/>
            </w:pPr>
            <w:r>
              <w:t xml:space="preserve">1.02811</w:t>
            </w:r>
          </w:p>
        </w:tc>
        <w:tc>
          <w:p>
            <w:pPr>
              <w:pStyle w:val="Compact"/>
              <w:jc w:val="right"/>
            </w:pPr>
            <w:r>
              <w:t xml:space="preserve">0.97585</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TIA.1</w:t>
            </w:r>
          </w:p>
        </w:tc>
        <w:tc>
          <w:p>
            <w:pPr>
              <w:pStyle w:val="Compact"/>
              <w:jc w:val="right"/>
            </w:pPr>
            <w:r>
              <w:t xml:space="preserve">1.000478</w:t>
            </w:r>
          </w:p>
        </w:tc>
        <w:tc>
          <w:p>
            <w:pPr>
              <w:pStyle w:val="Compact"/>
              <w:jc w:val="right"/>
            </w:pPr>
            <w:r>
              <w:t xml:space="preserve">0.9755715</w:t>
            </w:r>
          </w:p>
        </w:tc>
        <w:tc>
          <w:p>
            <w:pPr>
              <w:pStyle w:val="Compact"/>
              <w:jc w:val="right"/>
            </w:pPr>
            <w:r>
              <w:t xml:space="preserve">1.026020</w:t>
            </w:r>
          </w:p>
        </w:tc>
        <w:tc>
          <w:p>
            <w:pPr>
              <w:pStyle w:val="Compact"/>
              <w:jc w:val="right"/>
            </w:pPr>
            <w:r>
              <w:t xml:space="preserve">0.9703789</w:t>
            </w:r>
          </w:p>
        </w:tc>
      </w:tr>
      <w:tr>
        <w:tc>
          <w:p>
            <w:pPr>
              <w:pStyle w:val="Compact"/>
              <w:jc w:val="left"/>
            </w:pPr>
            <w:r>
              <w:t xml:space="preserve">CohortTGH</w:t>
            </w:r>
          </w:p>
        </w:tc>
        <w:tc>
          <w:p>
            <w:pPr>
              <w:pStyle w:val="Compact"/>
              <w:jc w:val="right"/>
            </w:pPr>
            <w:r>
              <w:t xml:space="preserve">1.846178</w:t>
            </w:r>
          </w:p>
        </w:tc>
        <w:tc>
          <w:p>
            <w:pPr>
              <w:pStyle w:val="Compact"/>
              <w:jc w:val="right"/>
            </w:pPr>
            <w:r>
              <w:t xml:space="preserve">1.1691534</w:t>
            </w:r>
          </w:p>
        </w:tc>
        <w:tc>
          <w:p>
            <w:pPr>
              <w:pStyle w:val="Compact"/>
              <w:jc w:val="right"/>
            </w:pPr>
            <w:r>
              <w:t xml:space="preserve">2.915249</w:t>
            </w:r>
          </w:p>
        </w:tc>
        <w:tc>
          <w:p>
            <w:pPr>
              <w:pStyle w:val="Compact"/>
              <w:jc w:val="right"/>
            </w:pPr>
            <w:r>
              <w:t xml:space="preserve">0.0085272</w:t>
            </w:r>
          </w:p>
        </w:tc>
      </w:tr>
    </w:tbl>
    <w:p>
      <w:pPr>
        <w:pStyle w:val="Heading2"/>
      </w:pPr>
      <w:bookmarkStart w:id="28" w:name="pd.1"/>
      <w:bookmarkEnd w:id="28"/>
      <w:r>
        <w:t xml:space="preserve">PD.1</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0.96878</w:t>
            </w:r>
          </w:p>
        </w:tc>
        <w:tc>
          <w:p>
            <w:pPr>
              <w:pStyle w:val="Compact"/>
              <w:jc w:val="right"/>
            </w:pPr>
            <w:r>
              <w:t xml:space="preserve">0.92238</w:t>
            </w:r>
          </w:p>
        </w:tc>
        <w:tc>
          <w:p>
            <w:pPr>
              <w:pStyle w:val="Compact"/>
              <w:jc w:val="right"/>
            </w:pPr>
            <w:r>
              <w:t xml:space="preserve">1.0175</w:t>
            </w:r>
          </w:p>
        </w:tc>
        <w:tc>
          <w:p>
            <w:pPr>
              <w:pStyle w:val="Compact"/>
              <w:jc w:val="right"/>
            </w:pPr>
            <w:r>
              <w:t xml:space="preserve">0.20516</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PD.1</w:t>
            </w:r>
          </w:p>
        </w:tc>
        <w:tc>
          <w:p>
            <w:pPr>
              <w:pStyle w:val="Compact"/>
              <w:jc w:val="right"/>
            </w:pPr>
            <w:r>
              <w:t xml:space="preserve">0.9892114</w:t>
            </w:r>
          </w:p>
        </w:tc>
        <w:tc>
          <w:p>
            <w:pPr>
              <w:pStyle w:val="Compact"/>
              <w:jc w:val="right"/>
            </w:pPr>
            <w:r>
              <w:t xml:space="preserve">0.9414052</w:t>
            </w:r>
          </w:p>
        </w:tc>
        <w:tc>
          <w:p>
            <w:pPr>
              <w:pStyle w:val="Compact"/>
              <w:jc w:val="right"/>
            </w:pPr>
            <w:r>
              <w:t xml:space="preserve">1.039445</w:t>
            </w:r>
          </w:p>
        </w:tc>
        <w:tc>
          <w:p>
            <w:pPr>
              <w:pStyle w:val="Compact"/>
              <w:jc w:val="right"/>
            </w:pPr>
            <w:r>
              <w:t xml:space="preserve">0.6677765</w:t>
            </w:r>
          </w:p>
        </w:tc>
      </w:tr>
      <w:tr>
        <w:tc>
          <w:p>
            <w:pPr>
              <w:pStyle w:val="Compact"/>
              <w:jc w:val="left"/>
            </w:pPr>
            <w:r>
              <w:t xml:space="preserve">CohortTGH</w:t>
            </w:r>
          </w:p>
        </w:tc>
        <w:tc>
          <w:p>
            <w:pPr>
              <w:pStyle w:val="Compact"/>
              <w:jc w:val="right"/>
            </w:pPr>
            <w:r>
              <w:t xml:space="preserve">1.7252704</w:t>
            </w:r>
          </w:p>
        </w:tc>
        <w:tc>
          <w:p>
            <w:pPr>
              <w:pStyle w:val="Compact"/>
              <w:jc w:val="right"/>
            </w:pPr>
            <w:r>
              <w:t xml:space="preserve">1.0506381</w:t>
            </w:r>
          </w:p>
        </w:tc>
        <w:tc>
          <w:p>
            <w:pPr>
              <w:pStyle w:val="Compact"/>
              <w:jc w:val="right"/>
            </w:pPr>
            <w:r>
              <w:t xml:space="preserve">2.833095</w:t>
            </w:r>
          </w:p>
        </w:tc>
        <w:tc>
          <w:p>
            <w:pPr>
              <w:pStyle w:val="Compact"/>
              <w:jc w:val="right"/>
            </w:pPr>
            <w:r>
              <w:t xml:space="preserve">0.0311488</w:t>
            </w:r>
          </w:p>
        </w:tc>
      </w:tr>
    </w:tbl>
    <w:p>
      <w:pPr>
        <w:pStyle w:val="Heading2"/>
      </w:pPr>
      <w:bookmarkStart w:id="29" w:name="foxp3"/>
      <w:bookmarkEnd w:id="29"/>
      <w:r>
        <w:t xml:space="preserve">FoxP3</w:t>
      </w:r>
    </w:p>
    <w:p>
      <w:r>
        <w:rPr>
          <w:b/>
        </w:rPr>
        <w:t xml:space="preserve">Without Cohort</w:t>
      </w:r>
    </w:p>
    <w:tbl>
      <w:tblPr>
        <w:tblStyle w:val="TableNormal"/>
        <w:tblW w:type="pct" w:w="0.0"/>
      </w:tblPr>
      <w:tblGrid/>
      <w:tr>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right"/>
            </w:pPr>
            <w:r>
              <w:t xml:space="preserve">0.98152</w:t>
            </w:r>
          </w:p>
        </w:tc>
        <w:tc>
          <w:p>
            <w:pPr>
              <w:pStyle w:val="Compact"/>
              <w:jc w:val="right"/>
            </w:pPr>
            <w:r>
              <w:t xml:space="preserve">0.87889</w:t>
            </w:r>
          </w:p>
        </w:tc>
        <w:tc>
          <w:p>
            <w:pPr>
              <w:pStyle w:val="Compact"/>
              <w:jc w:val="right"/>
            </w:pPr>
            <w:r>
              <w:t xml:space="preserve">1.09614</w:t>
            </w:r>
          </w:p>
        </w:tc>
        <w:tc>
          <w:p>
            <w:pPr>
              <w:pStyle w:val="Compact"/>
              <w:jc w:val="right"/>
            </w:pPr>
            <w:r>
              <w:t xml:space="preserve">0.74064</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FoxP3</w:t>
            </w:r>
          </w:p>
        </w:tc>
        <w:tc>
          <w:p>
            <w:pPr>
              <w:pStyle w:val="Compact"/>
              <w:jc w:val="right"/>
            </w:pPr>
            <w:r>
              <w:t xml:space="preserve">1.007860</w:t>
            </w:r>
          </w:p>
        </w:tc>
        <w:tc>
          <w:p>
            <w:pPr>
              <w:pStyle w:val="Compact"/>
              <w:jc w:val="right"/>
            </w:pPr>
            <w:r>
              <w:t xml:space="preserve">0.9021039</w:t>
            </w:r>
          </w:p>
        </w:tc>
        <w:tc>
          <w:p>
            <w:pPr>
              <w:pStyle w:val="Compact"/>
              <w:jc w:val="right"/>
            </w:pPr>
            <w:r>
              <w:t xml:space="preserve">1.126014</w:t>
            </w:r>
          </w:p>
        </w:tc>
        <w:tc>
          <w:p>
            <w:pPr>
              <w:pStyle w:val="Compact"/>
              <w:jc w:val="right"/>
            </w:pPr>
            <w:r>
              <w:t xml:space="preserve">0.8899074</w:t>
            </w:r>
          </w:p>
        </w:tc>
      </w:tr>
      <w:tr>
        <w:tc>
          <w:p>
            <w:pPr>
              <w:pStyle w:val="Compact"/>
              <w:jc w:val="left"/>
            </w:pPr>
            <w:r>
              <w:t xml:space="preserve">CohortTGH</w:t>
            </w:r>
          </w:p>
        </w:tc>
        <w:tc>
          <w:p>
            <w:pPr>
              <w:pStyle w:val="Compact"/>
              <w:jc w:val="right"/>
            </w:pPr>
            <w:r>
              <w:t xml:space="preserve">1.857236</w:t>
            </w:r>
          </w:p>
        </w:tc>
        <w:tc>
          <w:p>
            <w:pPr>
              <w:pStyle w:val="Compact"/>
              <w:jc w:val="right"/>
            </w:pPr>
            <w:r>
              <w:t xml:space="preserve">1.1667784</w:t>
            </w:r>
          </w:p>
        </w:tc>
        <w:tc>
          <w:p>
            <w:pPr>
              <w:pStyle w:val="Compact"/>
              <w:jc w:val="right"/>
            </w:pPr>
            <w:r>
              <w:t xml:space="preserve">2.956282</w:t>
            </w:r>
          </w:p>
        </w:tc>
        <w:tc>
          <w:p>
            <w:pPr>
              <w:pStyle w:val="Compact"/>
              <w:jc w:val="right"/>
            </w:pPr>
            <w:r>
              <w:t xml:space="preserve">0.0090455</w:t>
            </w:r>
          </w:p>
        </w:tc>
      </w:tr>
    </w:tbl>
    <w:p>
      <w:r>
        <w:t xml:space="preserve">None of the biomarkers are significant at any level when accounting for Cohort.</w:t>
      </w:r>
      <w:r>
        <w:t xml:space="preserve"> </w:t>
      </w:r>
      <w:r>
        <w:rPr>
          <w:b/>
        </w:rPr>
        <w:t xml:space="preserve">CD20</w:t>
      </w:r>
      <w:r>
        <w:t xml:space="preserve"> </w:t>
      </w:r>
      <w:r>
        <w:t xml:space="preserve">is significant at 5% level when we do not account for Cohort, however. It appears that the survival is only associated with the patient's cohort.</w:t>
      </w:r>
    </w:p>
    <w:p>
      <w:pPr>
        <w:pStyle w:val="Heading1"/>
      </w:pPr>
      <w:bookmarkStart w:id="30" w:name="multivariable-analysis"/>
      <w:bookmarkEnd w:id="30"/>
      <w:r>
        <w:t xml:space="preserve">Multivariable Analysis</w:t>
      </w:r>
    </w:p>
    <w:p>
      <w:r>
        <w:t xml:space="preserve">This model includes all six biomarkers as predictors.</w:t>
      </w:r>
    </w:p>
    <w:p>
      <w:r>
        <w:rPr>
          <w:b/>
        </w:rPr>
        <w:t xml:space="preserve">Without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CD3</w:t>
            </w:r>
          </w:p>
        </w:tc>
        <w:tc>
          <w:p>
            <w:pPr>
              <w:pStyle w:val="Compact"/>
              <w:jc w:val="right"/>
            </w:pPr>
            <w:r>
              <w:t xml:space="preserve">1.0027125</w:t>
            </w:r>
          </w:p>
        </w:tc>
        <w:tc>
          <w:p>
            <w:pPr>
              <w:pStyle w:val="Compact"/>
              <w:jc w:val="right"/>
            </w:pPr>
            <w:r>
              <w:t xml:space="preserve">0.9868373</w:t>
            </w:r>
          </w:p>
        </w:tc>
        <w:tc>
          <w:p>
            <w:pPr>
              <w:pStyle w:val="Compact"/>
              <w:jc w:val="right"/>
            </w:pPr>
            <w:r>
              <w:t xml:space="preserve">1.018843</w:t>
            </w:r>
          </w:p>
        </w:tc>
        <w:tc>
          <w:p>
            <w:pPr>
              <w:pStyle w:val="Compact"/>
              <w:jc w:val="right"/>
            </w:pPr>
            <w:r>
              <w:t xml:space="preserve">0.7393748</w:t>
            </w:r>
          </w:p>
        </w:tc>
      </w:tr>
      <w:tr>
        <w:tc>
          <w:p>
            <w:pPr>
              <w:pStyle w:val="Compact"/>
              <w:jc w:val="left"/>
            </w:pPr>
            <w:r>
              <w:t xml:space="preserve">CD8</w:t>
            </w:r>
          </w:p>
        </w:tc>
        <w:tc>
          <w:p>
            <w:pPr>
              <w:pStyle w:val="Compact"/>
              <w:jc w:val="right"/>
            </w:pPr>
            <w:r>
              <w:t xml:space="preserve">0.9983244</w:t>
            </w:r>
          </w:p>
        </w:tc>
        <w:tc>
          <w:p>
            <w:pPr>
              <w:pStyle w:val="Compact"/>
              <w:jc w:val="right"/>
            </w:pPr>
            <w:r>
              <w:t xml:space="preserve">0.9747983</w:t>
            </w:r>
          </w:p>
        </w:tc>
        <w:tc>
          <w:p>
            <w:pPr>
              <w:pStyle w:val="Compact"/>
              <w:jc w:val="right"/>
            </w:pPr>
            <w:r>
              <w:t xml:space="preserve">1.022418</w:t>
            </w:r>
          </w:p>
        </w:tc>
        <w:tc>
          <w:p>
            <w:pPr>
              <w:pStyle w:val="Compact"/>
              <w:jc w:val="right"/>
            </w:pPr>
            <w:r>
              <w:t xml:space="preserve">0.8903767</w:t>
            </w:r>
          </w:p>
        </w:tc>
      </w:tr>
      <w:tr>
        <w:tc>
          <w:p>
            <w:pPr>
              <w:pStyle w:val="Compact"/>
              <w:jc w:val="left"/>
            </w:pPr>
            <w:r>
              <w:t xml:space="preserve">CD20</w:t>
            </w:r>
          </w:p>
        </w:tc>
        <w:tc>
          <w:p>
            <w:pPr>
              <w:pStyle w:val="Compact"/>
              <w:jc w:val="right"/>
            </w:pPr>
            <w:r>
              <w:t xml:space="preserve">0.7928606</w:t>
            </w:r>
          </w:p>
        </w:tc>
        <w:tc>
          <w:p>
            <w:pPr>
              <w:pStyle w:val="Compact"/>
              <w:jc w:val="right"/>
            </w:pPr>
            <w:r>
              <w:t xml:space="preserve">0.6192758</w:t>
            </w:r>
          </w:p>
        </w:tc>
        <w:tc>
          <w:p>
            <w:pPr>
              <w:pStyle w:val="Compact"/>
              <w:jc w:val="right"/>
            </w:pPr>
            <w:r>
              <w:t xml:space="preserve">1.015102</w:t>
            </w:r>
          </w:p>
        </w:tc>
        <w:tc>
          <w:p>
            <w:pPr>
              <w:pStyle w:val="Compact"/>
              <w:jc w:val="right"/>
            </w:pPr>
            <w:r>
              <w:t xml:space="preserve">0.0656108</w:t>
            </w:r>
          </w:p>
        </w:tc>
      </w:tr>
      <w:tr>
        <w:tc>
          <w:p>
            <w:pPr>
              <w:pStyle w:val="Compact"/>
              <w:jc w:val="left"/>
            </w:pPr>
            <w:r>
              <w:t xml:space="preserve">TIA.1</w:t>
            </w:r>
          </w:p>
        </w:tc>
        <w:tc>
          <w:p>
            <w:pPr>
              <w:pStyle w:val="Compact"/>
              <w:jc w:val="right"/>
            </w:pPr>
            <w:r>
              <w:t xml:space="preserve">0.9957327</w:t>
            </w:r>
          </w:p>
        </w:tc>
        <w:tc>
          <w:p>
            <w:pPr>
              <w:pStyle w:val="Compact"/>
              <w:jc w:val="right"/>
            </w:pPr>
            <w:r>
              <w:t xml:space="preserve">0.9595186</w:t>
            </w:r>
          </w:p>
        </w:tc>
        <w:tc>
          <w:p>
            <w:pPr>
              <w:pStyle w:val="Compact"/>
              <w:jc w:val="right"/>
            </w:pPr>
            <w:r>
              <w:t xml:space="preserve">1.033314</w:t>
            </w:r>
          </w:p>
        </w:tc>
        <w:tc>
          <w:p>
            <w:pPr>
              <w:pStyle w:val="Compact"/>
              <w:jc w:val="right"/>
            </w:pPr>
            <w:r>
              <w:t xml:space="preserve">0.8210130</w:t>
            </w:r>
          </w:p>
        </w:tc>
      </w:tr>
      <w:tr>
        <w:tc>
          <w:p>
            <w:pPr>
              <w:pStyle w:val="Compact"/>
              <w:jc w:val="left"/>
            </w:pPr>
            <w:r>
              <w:t xml:space="preserve">PD.1</w:t>
            </w:r>
          </w:p>
        </w:tc>
        <w:tc>
          <w:p>
            <w:pPr>
              <w:pStyle w:val="Compact"/>
              <w:jc w:val="right"/>
            </w:pPr>
            <w:r>
              <w:t xml:space="preserve">0.9810662</w:t>
            </w:r>
          </w:p>
        </w:tc>
        <w:tc>
          <w:p>
            <w:pPr>
              <w:pStyle w:val="Compact"/>
              <w:jc w:val="right"/>
            </w:pPr>
            <w:r>
              <w:t xml:space="preserve">0.9092642</w:t>
            </w:r>
          </w:p>
        </w:tc>
        <w:tc>
          <w:p>
            <w:pPr>
              <w:pStyle w:val="Compact"/>
              <w:jc w:val="right"/>
            </w:pPr>
            <w:r>
              <w:t xml:space="preserve">1.058538</w:t>
            </w:r>
          </w:p>
        </w:tc>
        <w:tc>
          <w:p>
            <w:pPr>
              <w:pStyle w:val="Compact"/>
              <w:jc w:val="right"/>
            </w:pPr>
            <w:r>
              <w:t xml:space="preserve">0.6220566</w:t>
            </w:r>
          </w:p>
        </w:tc>
      </w:tr>
      <w:tr>
        <w:tc>
          <w:p>
            <w:pPr>
              <w:pStyle w:val="Compact"/>
              <w:jc w:val="left"/>
            </w:pPr>
            <w:r>
              <w:t xml:space="preserve">FoxP3</w:t>
            </w:r>
          </w:p>
        </w:tc>
        <w:tc>
          <w:p>
            <w:pPr>
              <w:pStyle w:val="Compact"/>
              <w:jc w:val="right"/>
            </w:pPr>
            <w:r>
              <w:t xml:space="preserve">1.1173577</w:t>
            </w:r>
          </w:p>
        </w:tc>
        <w:tc>
          <w:p>
            <w:pPr>
              <w:pStyle w:val="Compact"/>
              <w:jc w:val="right"/>
            </w:pPr>
            <w:r>
              <w:t xml:space="preserve">0.9413873</w:t>
            </w:r>
          </w:p>
        </w:tc>
        <w:tc>
          <w:p>
            <w:pPr>
              <w:pStyle w:val="Compact"/>
              <w:jc w:val="right"/>
            </w:pPr>
            <w:r>
              <w:t xml:space="preserve">1.326222</w:t>
            </w:r>
          </w:p>
        </w:tc>
        <w:tc>
          <w:p>
            <w:pPr>
              <w:pStyle w:val="Compact"/>
              <w:jc w:val="right"/>
            </w:pPr>
            <w:r>
              <w:t xml:space="preserve">0.2043879</w:t>
            </w:r>
          </w:p>
        </w:tc>
      </w:tr>
    </w:tbl>
    <w:p>
      <w:r>
        <w:rPr>
          <w:b/>
        </w:rPr>
        <w:t xml:space="preserve">With Cohort</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exp(coef)</w:t>
            </w:r>
          </w:p>
        </w:tc>
        <w:tc>
          <w:tcPr>
            <w:tcBorders>
              <w:bottom w:val="single"/>
            </w:tcBorders>
            <w:vAlign w:val="bottom"/>
          </w:tcPr>
          <w:p>
            <w:pPr>
              <w:pStyle w:val="Compact"/>
              <w:jc w:val="right"/>
            </w:pPr>
            <w:r>
              <w:t xml:space="preserve">lower .95</w:t>
            </w:r>
          </w:p>
        </w:tc>
        <w:tc>
          <w:tcPr>
            <w:tcBorders>
              <w:bottom w:val="single"/>
            </w:tcBorders>
            <w:vAlign w:val="bottom"/>
          </w:tcPr>
          <w:p>
            <w:pPr>
              <w:pStyle w:val="Compact"/>
              <w:jc w:val="right"/>
            </w:pPr>
            <w:r>
              <w:t xml:space="preserve">upper .95</w:t>
            </w:r>
          </w:p>
        </w:tc>
        <w:tc>
          <w:tcPr>
            <w:tcBorders>
              <w:bottom w:val="single"/>
            </w:tcBorders>
            <w:vAlign w:val="bottom"/>
          </w:tcPr>
          <w:p>
            <w:pPr>
              <w:pStyle w:val="Compact"/>
              <w:jc w:val="right"/>
            </w:pPr>
            <w:r>
              <w:t xml:space="preserve">Pr(&gt;|z|)</w:t>
            </w:r>
          </w:p>
        </w:tc>
      </w:tr>
      <w:tr>
        <w:tc>
          <w:p>
            <w:pPr>
              <w:pStyle w:val="Compact"/>
              <w:jc w:val="left"/>
            </w:pPr>
            <w:r>
              <w:t xml:space="preserve">CD3</w:t>
            </w:r>
          </w:p>
        </w:tc>
        <w:tc>
          <w:p>
            <w:pPr>
              <w:pStyle w:val="Compact"/>
              <w:jc w:val="right"/>
            </w:pPr>
            <w:r>
              <w:t xml:space="preserve">1.0005799</w:t>
            </w:r>
          </w:p>
        </w:tc>
        <w:tc>
          <w:p>
            <w:pPr>
              <w:pStyle w:val="Compact"/>
              <w:jc w:val="right"/>
            </w:pPr>
            <w:r>
              <w:t xml:space="preserve">0.9846786</w:t>
            </w:r>
          </w:p>
        </w:tc>
        <w:tc>
          <w:p>
            <w:pPr>
              <w:pStyle w:val="Compact"/>
              <w:jc w:val="right"/>
            </w:pPr>
            <w:r>
              <w:t xml:space="preserve">1.016738</w:t>
            </w:r>
          </w:p>
        </w:tc>
        <w:tc>
          <w:p>
            <w:pPr>
              <w:pStyle w:val="Compact"/>
              <w:jc w:val="right"/>
            </w:pPr>
            <w:r>
              <w:t xml:space="preserve">0.9434590</w:t>
            </w:r>
          </w:p>
        </w:tc>
      </w:tr>
      <w:tr>
        <w:tc>
          <w:p>
            <w:pPr>
              <w:pStyle w:val="Compact"/>
              <w:jc w:val="left"/>
            </w:pPr>
            <w:r>
              <w:t xml:space="preserve">CD8</w:t>
            </w:r>
          </w:p>
        </w:tc>
        <w:tc>
          <w:p>
            <w:pPr>
              <w:pStyle w:val="Compact"/>
              <w:jc w:val="right"/>
            </w:pPr>
            <w:r>
              <w:t xml:space="preserve">1.0017938</w:t>
            </w:r>
          </w:p>
        </w:tc>
        <w:tc>
          <w:p>
            <w:pPr>
              <w:pStyle w:val="Compact"/>
              <w:jc w:val="right"/>
            </w:pPr>
            <w:r>
              <w:t xml:space="preserve">0.9795763</w:t>
            </w:r>
          </w:p>
        </w:tc>
        <w:tc>
          <w:p>
            <w:pPr>
              <w:pStyle w:val="Compact"/>
              <w:jc w:val="right"/>
            </w:pPr>
            <w:r>
              <w:t xml:space="preserve">1.024515</w:t>
            </w:r>
          </w:p>
        </w:tc>
        <w:tc>
          <w:p>
            <w:pPr>
              <w:pStyle w:val="Compact"/>
              <w:jc w:val="right"/>
            </w:pPr>
            <w:r>
              <w:t xml:space="preserve">0.8755412</w:t>
            </w:r>
          </w:p>
        </w:tc>
      </w:tr>
      <w:tr>
        <w:tc>
          <w:p>
            <w:pPr>
              <w:pStyle w:val="Compact"/>
              <w:jc w:val="left"/>
            </w:pPr>
            <w:r>
              <w:t xml:space="preserve">CD20</w:t>
            </w:r>
          </w:p>
        </w:tc>
        <w:tc>
          <w:p>
            <w:pPr>
              <w:pStyle w:val="Compact"/>
              <w:jc w:val="right"/>
            </w:pPr>
            <w:r>
              <w:t xml:space="preserve">0.8221778</w:t>
            </w:r>
          </w:p>
        </w:tc>
        <w:tc>
          <w:p>
            <w:pPr>
              <w:pStyle w:val="Compact"/>
              <w:jc w:val="right"/>
            </w:pPr>
            <w:r>
              <w:t xml:space="preserve">0.6456063</w:t>
            </w:r>
          </w:p>
        </w:tc>
        <w:tc>
          <w:p>
            <w:pPr>
              <w:pStyle w:val="Compact"/>
              <w:jc w:val="right"/>
            </w:pPr>
            <w:r>
              <w:t xml:space="preserve">1.047041</w:t>
            </w:r>
          </w:p>
        </w:tc>
        <w:tc>
          <w:p>
            <w:pPr>
              <w:pStyle w:val="Compact"/>
              <w:jc w:val="right"/>
            </w:pPr>
            <w:r>
              <w:t xml:space="preserve">0.1124431</w:t>
            </w:r>
          </w:p>
        </w:tc>
      </w:tr>
      <w:tr>
        <w:tc>
          <w:p>
            <w:pPr>
              <w:pStyle w:val="Compact"/>
              <w:jc w:val="left"/>
            </w:pPr>
            <w:r>
              <w:t xml:space="preserve">TIA.1</w:t>
            </w:r>
          </w:p>
        </w:tc>
        <w:tc>
          <w:p>
            <w:pPr>
              <w:pStyle w:val="Compact"/>
              <w:jc w:val="right"/>
            </w:pPr>
            <w:r>
              <w:t xml:space="preserve">0.9892029</w:t>
            </w:r>
          </w:p>
        </w:tc>
        <w:tc>
          <w:p>
            <w:pPr>
              <w:pStyle w:val="Compact"/>
              <w:jc w:val="right"/>
            </w:pPr>
            <w:r>
              <w:t xml:space="preserve">0.9517730</w:t>
            </w:r>
          </w:p>
        </w:tc>
        <w:tc>
          <w:p>
            <w:pPr>
              <w:pStyle w:val="Compact"/>
              <w:jc w:val="right"/>
            </w:pPr>
            <w:r>
              <w:t xml:space="preserve">1.028105</w:t>
            </w:r>
          </w:p>
        </w:tc>
        <w:tc>
          <w:p>
            <w:pPr>
              <w:pStyle w:val="Compact"/>
              <w:jc w:val="right"/>
            </w:pPr>
            <w:r>
              <w:t xml:space="preserve">0.5812181</w:t>
            </w:r>
          </w:p>
        </w:tc>
      </w:tr>
      <w:tr>
        <w:tc>
          <w:p>
            <w:pPr>
              <w:pStyle w:val="Compact"/>
              <w:jc w:val="left"/>
            </w:pPr>
            <w:r>
              <w:t xml:space="preserve">PD.1</w:t>
            </w:r>
          </w:p>
        </w:tc>
        <w:tc>
          <w:p>
            <w:pPr>
              <w:pStyle w:val="Compact"/>
              <w:jc w:val="right"/>
            </w:pPr>
            <w:r>
              <w:t xml:space="preserve">0.9948749</w:t>
            </w:r>
          </w:p>
        </w:tc>
        <w:tc>
          <w:p>
            <w:pPr>
              <w:pStyle w:val="Compact"/>
              <w:jc w:val="right"/>
            </w:pPr>
            <w:r>
              <w:t xml:space="preserve">0.9235597</w:t>
            </w:r>
          </w:p>
        </w:tc>
        <w:tc>
          <w:p>
            <w:pPr>
              <w:pStyle w:val="Compact"/>
              <w:jc w:val="right"/>
            </w:pPr>
            <w:r>
              <w:t xml:space="preserve">1.071697</w:t>
            </w:r>
          </w:p>
        </w:tc>
        <w:tc>
          <w:p>
            <w:pPr>
              <w:pStyle w:val="Compact"/>
              <w:jc w:val="right"/>
            </w:pPr>
            <w:r>
              <w:t xml:space="preserve">0.8923004</w:t>
            </w:r>
          </w:p>
        </w:tc>
      </w:tr>
      <w:tr>
        <w:tc>
          <w:p>
            <w:pPr>
              <w:pStyle w:val="Compact"/>
              <w:jc w:val="left"/>
            </w:pPr>
            <w:r>
              <w:t xml:space="preserve">FoxP3</w:t>
            </w:r>
          </w:p>
        </w:tc>
        <w:tc>
          <w:p>
            <w:pPr>
              <w:pStyle w:val="Compact"/>
              <w:jc w:val="right"/>
            </w:pPr>
            <w:r>
              <w:t xml:space="preserve">1.1134037</w:t>
            </w:r>
          </w:p>
        </w:tc>
        <w:tc>
          <w:p>
            <w:pPr>
              <w:pStyle w:val="Compact"/>
              <w:jc w:val="right"/>
            </w:pPr>
            <w:r>
              <w:t xml:space="preserve">0.9285485</w:t>
            </w:r>
          </w:p>
        </w:tc>
        <w:tc>
          <w:p>
            <w:pPr>
              <w:pStyle w:val="Compact"/>
              <w:jc w:val="right"/>
            </w:pPr>
            <w:r>
              <w:t xml:space="preserve">1.335060</w:t>
            </w:r>
          </w:p>
        </w:tc>
        <w:tc>
          <w:p>
            <w:pPr>
              <w:pStyle w:val="Compact"/>
              <w:jc w:val="right"/>
            </w:pPr>
            <w:r>
              <w:t xml:space="preserve">0.2461842</w:t>
            </w:r>
          </w:p>
        </w:tc>
      </w:tr>
      <w:tr>
        <w:tc>
          <w:p>
            <w:pPr>
              <w:pStyle w:val="Compact"/>
              <w:jc w:val="left"/>
            </w:pPr>
            <w:r>
              <w:t xml:space="preserve">CohortTGH</w:t>
            </w:r>
          </w:p>
        </w:tc>
        <w:tc>
          <w:p>
            <w:pPr>
              <w:pStyle w:val="Compact"/>
              <w:jc w:val="right"/>
            </w:pPr>
            <w:r>
              <w:t xml:space="preserve">1.5697174</w:t>
            </w:r>
          </w:p>
        </w:tc>
        <w:tc>
          <w:p>
            <w:pPr>
              <w:pStyle w:val="Compact"/>
              <w:jc w:val="right"/>
            </w:pPr>
            <w:r>
              <w:t xml:space="preserve">0.9297656</w:t>
            </w:r>
          </w:p>
        </w:tc>
        <w:tc>
          <w:p>
            <w:pPr>
              <w:pStyle w:val="Compact"/>
              <w:jc w:val="right"/>
            </w:pPr>
            <w:r>
              <w:t xml:space="preserve">2.650144</w:t>
            </w:r>
          </w:p>
        </w:tc>
        <w:tc>
          <w:p>
            <w:pPr>
              <w:pStyle w:val="Compact"/>
              <w:jc w:val="right"/>
            </w:pPr>
            <w:r>
              <w:t xml:space="preserve">0.0915203</w:t>
            </w:r>
          </w:p>
        </w:tc>
      </w:tr>
    </w:tbl>
    <w:p>
      <w:r>
        <w:t xml:space="preserve">When accounting for all the biomarkers in the model along with cohort, we see that no biomarkers are significant at any level.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29e5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Overall Survival from Neoadjuvant Treatment</dc:title>
  <dc:creator>Derek Chiu</dc:creator>
  <dcterms:created xsi:type="dcterms:W3CDTF">2015-06-25</dcterms:created>
  <dcterms:modified xsi:type="dcterms:W3CDTF">2015-06-25</dcterms:modified>
</cp:coreProperties>
</file>