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SummaryStatsBy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Derek</w:t>
      </w:r>
      <w:r>
        <w:t xml:space="preserve"> </w:t>
      </w:r>
      <w:r>
        <w:t xml:space="preserve">Chiu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16,</w:t>
      </w:r>
      <w:r>
        <w:t xml:space="preserve"> </w:t>
      </w:r>
      <w:r>
        <w:t xml:space="preserve">2015</w:t>
      </w:r>
    </w:p>
    <w:tbl>
      <w:tblPr>
        <w:tblStyle w:val="TableNormal"/>
        <w:tblW w:type="pct" w:w="4444.444444444444"/>
        <w:tblCaption w:val="Table continues below"/>
      </w:tblPr>
      <w:tblGrid>
        <w:gridCol w:w="1210"/>
        <w:gridCol w:w="1760"/>
        <w:gridCol w:w="2200"/>
        <w:gridCol w:w="18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 ± 3.111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26-30.4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 ± 0.141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</w:t>
            </w:r>
          </w:p>
        </w:tc>
        <w:tc>
          <w:p>
            <w:pPr>
              <w:pStyle w:val="Compact"/>
              <w:jc w:val="center"/>
            </w:pPr>
            <w:r>
              <w:t xml:space="preserve">16.7-16.9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26.664 ± 4.51</w:t>
            </w:r>
          </w:p>
        </w:tc>
        <w:tc>
          <w:p>
            <w:pPr>
              <w:pStyle w:val="Compact"/>
              <w:jc w:val="center"/>
            </w:pPr>
            <w:r>
              <w:t xml:space="preserve">19.75 ± 2.333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26.00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19.137 ± 1.682</w:t>
            </w:r>
          </w:p>
        </w:tc>
        <w:tc>
          <w:p>
            <w:pPr>
              <w:pStyle w:val="Compact"/>
              <w:jc w:val="center"/>
            </w:pPr>
            <w:r>
              <w:t xml:space="preserve">19.83 ± 0.552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18.900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1.390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16.7-22.9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513.888888888889"/>
        <w:tblCaption w:val="Table continues below"/>
      </w:tblPr>
      <w:tblGrid>
        <w:gridCol w:w="1210"/>
        <w:gridCol w:w="2090"/>
        <w:gridCol w:w="176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19.75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 ± NA</w:t>
            </w:r>
          </w:p>
        </w:tc>
        <w:tc>
          <w:p>
            <w:pPr>
              <w:pStyle w:val="Compact"/>
              <w:jc w:val="center"/>
            </w:pPr>
            <w:r>
              <w:t xml:space="preserve">19.743 ± 1.454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17.8-21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17.8-21.4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17.67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 ± NA</w:t>
            </w:r>
          </w:p>
        </w:tc>
        <w:tc>
          <w:p>
            <w:pPr>
              <w:pStyle w:val="Compact"/>
              <w:jc w:val="center"/>
            </w:pPr>
            <w:r>
              <w:t xml:space="preserve">17.977 ± 1.707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18.300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16.46-18.9</w:t>
            </w:r>
          </w:p>
        </w:tc>
        <w:tc>
          <w:p>
            <w:pPr>
              <w:pStyle w:val="Compact"/>
              <w:jc w:val="center"/>
            </w:pPr>
            <w:r>
              <w:t xml:space="preserve">15.5-15.5</w:t>
            </w:r>
          </w:p>
        </w:tc>
        <w:tc>
          <w:p>
            <w:pPr>
              <w:pStyle w:val="Compact"/>
              <w:jc w:val="center"/>
            </w:pPr>
            <w:r>
              <w:t xml:space="preserve">15.5-20.22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15.05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15.41-18</w:t>
            </w:r>
          </w:p>
        </w:tc>
        <w:tc>
          <w:p>
            <w:pPr>
              <w:pStyle w:val="Compact"/>
              <w:jc w:val="center"/>
            </w:pPr>
            <w:r>
              <w:t xml:space="preserve">14.5-14.6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83.3333333333335"/>
      </w:tblPr>
      <w:tblGrid>
        <w:gridCol w:w="121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15.1 ± 2.56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16.772 ± 1.196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14.5-18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4652.777777777778"/>
        <w:tblCaption w:val="Table continues below"/>
      </w:tblPr>
      <w:tblGrid>
        <w:gridCol w:w="1100"/>
        <w:gridCol w:w="187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21.500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28.200 ± 3.111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26.0-30.4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472.222222222222"/>
        <w:tblCaption w:val="Table continues below"/>
      </w:tblPr>
      <w:tblGrid>
        <w:gridCol w:w="110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26.664 ± 4.510</w:t>
            </w:r>
          </w:p>
        </w:tc>
        <w:tc>
          <w:p>
            <w:pPr>
              <w:pStyle w:val="Compact"/>
              <w:jc w:val="center"/>
            </w:pPr>
            <w:r>
              <w:t xml:space="preserve">19.750 ± 2.333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26.00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583.333333333334"/>
        <w:tblCaption w:val="Table continues below"/>
      </w:tblPr>
      <w:tblGrid>
        <w:gridCol w:w="1100"/>
        <w:gridCol w:w="2200"/>
        <w:gridCol w:w="187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19.750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19.700 ± NA</w:t>
            </w:r>
          </w:p>
        </w:tc>
        <w:tc>
          <w:p>
            <w:pPr>
              <w:pStyle w:val="Compact"/>
              <w:jc w:val="center"/>
            </w:pPr>
            <w:r>
              <w:t xml:space="preserve">19.743 ± 1.454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17.8-21.0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17.8-21.4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472.222222222222"/>
        <w:tblCaption w:val="Table continues below"/>
      </w:tblPr>
      <w:tblGrid>
        <w:gridCol w:w="110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15.050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15.400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15.0-15.8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13.888888888889"/>
      </w:tblPr>
      <w:tblGrid>
        <w:gridCol w:w="110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15.100 ± 2.560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4444.444444444444"/>
        <w:tblCaption w:val="Table continues below"/>
      </w:tblPr>
      <w:tblGrid>
        <w:gridCol w:w="1210"/>
        <w:gridCol w:w="1760"/>
        <w:gridCol w:w="2200"/>
        <w:gridCol w:w="187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21.5 ± NA</w:t>
            </w:r>
          </w:p>
        </w:tc>
        <w:tc>
          <w:p>
            <w:pPr>
              <w:pStyle w:val="Compact"/>
              <w:jc w:val="center"/>
            </w:pPr>
            <w:r>
              <w:t xml:space="preserve">26.925 ± 4.807</w:t>
            </w:r>
          </w:p>
        </w:tc>
        <w:tc>
          <w:p>
            <w:pPr>
              <w:pStyle w:val="Compact"/>
              <w:jc w:val="center"/>
            </w:pPr>
            <w:r>
              <w:t xml:space="preserve">28.2 ± 3.111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21.50</w:t>
            </w:r>
          </w:p>
        </w:tc>
        <w:tc>
          <w:p>
            <w:pPr>
              <w:pStyle w:val="Compact"/>
              <w:jc w:val="center"/>
            </w:pPr>
            <w:r>
              <w:t xml:space="preserve">25.85</w:t>
            </w:r>
          </w:p>
        </w:tc>
        <w:tc>
          <w:p>
            <w:pPr>
              <w:pStyle w:val="Compact"/>
              <w:jc w:val="center"/>
            </w:pPr>
            <w:r>
              <w:t xml:space="preserve">28.20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8.100</w:t>
            </w:r>
          </w:p>
        </w:tc>
        <w:tc>
          <w:p>
            <w:pPr>
              <w:pStyle w:val="Compact"/>
              <w:jc w:val="center"/>
            </w:pPr>
            <w:r>
              <w:t xml:space="preserve">2.200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21.5-21.5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26-30.4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1 (5.56%, 50%)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 (7.14%, 100%)</w:t>
            </w:r>
          </w:p>
        </w:tc>
        <w:tc>
          <w:p>
            <w:pPr>
              <w:pStyle w:val="Compact"/>
              <w:jc w:val="center"/>
            </w:pPr>
            <w:r>
              <w:t xml:space="preserve">8 (57.14%, 100%)</w:t>
            </w:r>
          </w:p>
        </w:tc>
        <w:tc>
          <w:p>
            <w:pPr>
              <w:pStyle w:val="Compact"/>
              <w:jc w:val="center"/>
            </w:pPr>
            <w:r>
              <w:t xml:space="preserve">1 (7.14%, 50%)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 ± 0.141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</w:t>
            </w:r>
          </w:p>
        </w:tc>
        <w:tc>
          <w:p>
            <w:pPr>
              <w:pStyle w:val="Compact"/>
              <w:jc w:val="center"/>
            </w:pPr>
            <w:r>
              <w:t xml:space="preserve">16.7-16.9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 (5.26%, 100%)</w:t>
            </w:r>
          </w:p>
        </w:tc>
        <w:tc>
          <w:p>
            <w:pPr>
              <w:pStyle w:val="Compact"/>
              <w:jc w:val="center"/>
            </w:pPr>
            <w:r>
              <w:t xml:space="preserve">2 (10.53%, 25%)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6 (46.15%, 75%)</w:t>
            </w:r>
          </w:p>
        </w:tc>
        <w:tc>
          <w:p>
            <w:pPr>
              <w:pStyle w:val="Compact"/>
              <w:jc w:val="center"/>
            </w:pPr>
            <w:r>
              <w:t xml:space="preserve">2 (15.38%, 100%)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26.664 ± 4.51</w:t>
            </w:r>
          </w:p>
        </w:tc>
        <w:tc>
          <w:p>
            <w:pPr>
              <w:pStyle w:val="Compact"/>
              <w:jc w:val="center"/>
            </w:pPr>
            <w:r>
              <w:t xml:space="preserve">19.75 ± 2.333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26.00</w:t>
            </w:r>
          </w:p>
        </w:tc>
        <w:tc>
          <w:p>
            <w:pPr>
              <w:pStyle w:val="Compact"/>
              <w:jc w:val="center"/>
            </w:pPr>
            <w:r>
              <w:t xml:space="preserve">19.75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7.600</w:t>
            </w:r>
          </w:p>
        </w:tc>
        <w:tc>
          <w:p>
            <w:pPr>
              <w:pStyle w:val="Compact"/>
              <w:jc w:val="center"/>
            </w:pPr>
            <w:r>
              <w:t xml:space="preserve">1.650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21.4-33.9</w:t>
            </w:r>
          </w:p>
        </w:tc>
        <w:tc>
          <w:p>
            <w:pPr>
              <w:pStyle w:val="Compact"/>
              <w:jc w:val="center"/>
            </w:pPr>
            <w:r>
              <w:t xml:space="preserve">18.1-21.4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 (9.09%)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 (90.91%)</w:t>
            </w:r>
          </w:p>
        </w:tc>
        <w:tc>
          <w:p>
            <w:pPr>
              <w:pStyle w:val="Compact"/>
              <w:jc w:val="center"/>
            </w:pPr>
            <w:r>
              <w:t xml:space="preserve">2 (14.29%,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19.137 ± 1.682</w:t>
            </w:r>
          </w:p>
        </w:tc>
        <w:tc>
          <w:p>
            <w:pPr>
              <w:pStyle w:val="Compact"/>
              <w:jc w:val="center"/>
            </w:pPr>
            <w:r>
              <w:t xml:space="preserve">19.83 ± 0.552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18.900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1.390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16.7-22.9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3 (27.27%)</w:t>
            </w:r>
          </w:p>
        </w:tc>
        <w:tc>
          <w:p>
            <w:pPr>
              <w:pStyle w:val="Compact"/>
              <w:jc w:val="center"/>
            </w:pPr>
            <w:r>
              <w:t xml:space="preserve">2 (10.53%,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8 (72.73%)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513.888888888889"/>
        <w:tblCaption w:val="Table continues below"/>
      </w:tblPr>
      <w:tblGrid>
        <w:gridCol w:w="1210"/>
        <w:gridCol w:w="2090"/>
        <w:gridCol w:w="176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19.75 ± 1.552</w:t>
            </w:r>
          </w:p>
        </w:tc>
        <w:tc>
          <w:p>
            <w:pPr>
              <w:pStyle w:val="Compact"/>
              <w:jc w:val="center"/>
            </w:pPr>
            <w:r>
              <w:t xml:space="preserve">19.7 ± NA</w:t>
            </w:r>
          </w:p>
        </w:tc>
        <w:tc>
          <w:p>
            <w:pPr>
              <w:pStyle w:val="Compact"/>
              <w:jc w:val="center"/>
            </w:pPr>
            <w:r>
              <w:t xml:space="preserve">19.743 ± 1.454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20.10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  <w:tc>
          <w:p>
            <w:pPr>
              <w:pStyle w:val="Compact"/>
              <w:jc w:val="center"/>
            </w:pPr>
            <w:r>
              <w:t xml:space="preserve">19.70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2.150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2.350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17.8-21</w:t>
            </w:r>
          </w:p>
        </w:tc>
        <w:tc>
          <w:p>
            <w:pPr>
              <w:pStyle w:val="Compact"/>
              <w:jc w:val="center"/>
            </w:pPr>
            <w:r>
              <w:t xml:space="preserve">19.7-19.7</w:t>
            </w:r>
          </w:p>
        </w:tc>
        <w:tc>
          <w:p>
            <w:pPr>
              <w:pStyle w:val="Compact"/>
              <w:jc w:val="center"/>
            </w:pPr>
            <w:r>
              <w:t xml:space="preserve">17.8-21.4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 (11.11%, 50%)</w:t>
            </w:r>
          </w:p>
        </w:tc>
        <w:tc>
          <w:p>
            <w:pPr>
              <w:pStyle w:val="Compact"/>
              <w:jc w:val="center"/>
            </w:pPr>
            <w:r>
              <w:t xml:space="preserve">1 (5.56%, 100%)</w:t>
            </w:r>
          </w:p>
        </w:tc>
        <w:tc>
          <w:p>
            <w:pPr>
              <w:pStyle w:val="Compact"/>
              <w:jc w:val="center"/>
            </w:pPr>
            <w:r>
              <w:t xml:space="preserve">3 (42.86%)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(14.29%,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4 (57.14%)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17.67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 ± NA</w:t>
            </w:r>
          </w:p>
        </w:tc>
        <w:tc>
          <w:p>
            <w:pPr>
              <w:pStyle w:val="Compact"/>
              <w:jc w:val="center"/>
            </w:pPr>
            <w:r>
              <w:t xml:space="preserve">17.977 ± 1.707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18.300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16.46-18.9</w:t>
            </w:r>
          </w:p>
        </w:tc>
        <w:tc>
          <w:p>
            <w:pPr>
              <w:pStyle w:val="Compact"/>
              <w:jc w:val="center"/>
            </w:pPr>
            <w:r>
              <w:t xml:space="preserve">15.5-15.5</w:t>
            </w:r>
          </w:p>
        </w:tc>
        <w:tc>
          <w:p>
            <w:pPr>
              <w:pStyle w:val="Compact"/>
              <w:jc w:val="center"/>
            </w:pPr>
            <w:r>
              <w:t xml:space="preserve">15.5-20.22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 (10.53%,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4 (57.14%)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(15.38%, 50%)</w:t>
            </w:r>
          </w:p>
        </w:tc>
        <w:tc>
          <w:p>
            <w:pPr>
              <w:pStyle w:val="Compact"/>
              <w:jc w:val="center"/>
            </w:pPr>
            <w:r>
              <w:t xml:space="preserve">1 (7.69%, 100%)</w:t>
            </w:r>
          </w:p>
        </w:tc>
        <w:tc>
          <w:p>
            <w:pPr>
              <w:pStyle w:val="Compact"/>
              <w:jc w:val="center"/>
            </w:pPr>
            <w:r>
              <w:t xml:space="preserve">3 (42.86%)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15.05 ± 2.774</w:t>
            </w:r>
          </w:p>
        </w:tc>
        <w:tc>
          <w:p>
            <w:pPr>
              <w:pStyle w:val="Compact"/>
              <w:jc w:val="center"/>
            </w:pPr>
            <w:r>
              <w:t xml:space="preserve">15.4 ± 0.566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  <w:tc>
          <w:p>
            <w:pPr>
              <w:pStyle w:val="Compact"/>
              <w:jc w:val="center"/>
            </w:pPr>
            <w:r>
              <w:t xml:space="preserve">15.40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2.575</w:t>
            </w:r>
          </w:p>
        </w:tc>
        <w:tc>
          <w:p>
            <w:pPr>
              <w:pStyle w:val="Compact"/>
              <w:jc w:val="center"/>
            </w:pPr>
            <w:r>
              <w:t xml:space="preserve">0.400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  <w:tc>
          <w:p>
            <w:pPr>
              <w:pStyle w:val="Compact"/>
              <w:jc w:val="center"/>
            </w:pPr>
            <w:r>
              <w:t xml:space="preserve">15-15.8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 (66.67%, 100%)</w:t>
            </w:r>
          </w:p>
        </w:tc>
        <w:tc>
          <w:p>
            <w:pPr>
              <w:pStyle w:val="Compact"/>
              <w:jc w:val="center"/>
            </w:pPr>
            <w:r>
              <w:t xml:space="preserve">2 (11.11%,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15.41-18</w:t>
            </w:r>
          </w:p>
        </w:tc>
        <w:tc>
          <w:p>
            <w:pPr>
              <w:pStyle w:val="Compact"/>
              <w:jc w:val="center"/>
            </w:pPr>
            <w:r>
              <w:t xml:space="preserve">14.5-14.6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 (63.16%, 100%)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2 (15.38%, 100%)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83.3333333333335"/>
      </w:tblPr>
      <w:tblGrid>
        <w:gridCol w:w="121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mpg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15.1 ± 2.56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15.20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1.850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10.4-19.2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 (100%)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16.772 ± 1.196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14.5-18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am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 (85.71%)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(14.29%)</w:t>
            </w:r>
          </w:p>
        </w:tc>
      </w:tr>
    </w:tbl>
    <w:p>
      <w:r>
        <w:t xml:space="preserve">White Space</w:t>
      </w:r>
    </w:p>
    <w:tbl>
      <w:tblPr>
        <w:tblStyle w:val="TableNormal"/>
        <w:tblW w:type="pct" w:w="4722.222222222223"/>
        <w:tblCaption w:val="Table continues below"/>
      </w:tblPr>
      <w:tblGrid>
        <w:gridCol w:w="1210"/>
        <w:gridCol w:w="187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1 (5.56%, 50%)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 (7.14%, 100%)</w:t>
            </w:r>
          </w:p>
        </w:tc>
        <w:tc>
          <w:p>
            <w:pPr>
              <w:pStyle w:val="Compact"/>
              <w:jc w:val="center"/>
            </w:pPr>
            <w:r>
              <w:t xml:space="preserve">8 (57.14%, 100%)</w:t>
            </w:r>
          </w:p>
        </w:tc>
        <w:tc>
          <w:p>
            <w:pPr>
              <w:pStyle w:val="Compact"/>
              <w:jc w:val="center"/>
            </w:pPr>
            <w:r>
              <w:t xml:space="preserve">1 (7.14%, 50%)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20.010 ± NA</w:t>
            </w:r>
          </w:p>
        </w:tc>
        <w:tc>
          <w:p>
            <w:pPr>
              <w:pStyle w:val="Compact"/>
              <w:jc w:val="center"/>
            </w:pPr>
            <w:r>
              <w:t xml:space="preserve">19.613 ± 1.454</w:t>
            </w:r>
          </w:p>
        </w:tc>
        <w:tc>
          <w:p>
            <w:pPr>
              <w:pStyle w:val="Compact"/>
              <w:jc w:val="center"/>
            </w:pPr>
            <w:r>
              <w:t xml:space="preserve">16.800 ± 0.141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20.010</w:t>
            </w:r>
          </w:p>
        </w:tc>
        <w:tc>
          <w:p>
            <w:pPr>
              <w:pStyle w:val="Compact"/>
              <w:jc w:val="center"/>
            </w:pPr>
            <w:r>
              <w:t xml:space="preserve">19.185</w:t>
            </w:r>
          </w:p>
        </w:tc>
        <w:tc>
          <w:p>
            <w:pPr>
              <w:pStyle w:val="Compact"/>
              <w:jc w:val="center"/>
            </w:pPr>
            <w:r>
              <w:t xml:space="preserve">16.800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1.317</w:t>
            </w:r>
          </w:p>
        </w:tc>
        <w:tc>
          <w:p>
            <w:pPr>
              <w:pStyle w:val="Compact"/>
              <w:jc w:val="center"/>
            </w:pPr>
            <w:r>
              <w:t xml:space="preserve">0.100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20.01-20.01</w:t>
            </w:r>
          </w:p>
        </w:tc>
        <w:tc>
          <w:p>
            <w:pPr>
              <w:pStyle w:val="Compact"/>
              <w:jc w:val="center"/>
            </w:pPr>
            <w:r>
              <w:t xml:space="preserve">18.52-22.90</w:t>
            </w:r>
          </w:p>
        </w:tc>
        <w:tc>
          <w:p>
            <w:pPr>
              <w:pStyle w:val="Compact"/>
              <w:jc w:val="center"/>
            </w:pPr>
            <w:r>
              <w:t xml:space="preserve">16.70-16.90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gear=3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 (9.09%)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10 (90.91%)</w:t>
            </w:r>
          </w:p>
        </w:tc>
        <w:tc>
          <w:p>
            <w:pPr>
              <w:pStyle w:val="Compact"/>
              <w:jc w:val="center"/>
            </w:pPr>
            <w:r>
              <w:t xml:space="preserve">2 (14.29%,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19.137 ± 1.682</w:t>
            </w:r>
          </w:p>
        </w:tc>
        <w:tc>
          <w:p>
            <w:pPr>
              <w:pStyle w:val="Compact"/>
              <w:jc w:val="center"/>
            </w:pPr>
            <w:r>
              <w:t xml:space="preserve">19.830 ± 0.552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18.900</w:t>
            </w:r>
          </w:p>
        </w:tc>
        <w:tc>
          <w:p>
            <w:pPr>
              <w:pStyle w:val="Compact"/>
              <w:jc w:val="center"/>
            </w:pPr>
            <w:r>
              <w:t xml:space="preserve">19.830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1.390</w:t>
            </w:r>
          </w:p>
        </w:tc>
        <w:tc>
          <w:p>
            <w:pPr>
              <w:pStyle w:val="Compact"/>
              <w:jc w:val="center"/>
            </w:pPr>
            <w:r>
              <w:t xml:space="preserve">0.390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16.70-22.90</w:t>
            </w:r>
          </w:p>
        </w:tc>
        <w:tc>
          <w:p>
            <w:pPr>
              <w:pStyle w:val="Compact"/>
              <w:jc w:val="center"/>
            </w:pPr>
            <w:r>
              <w:t xml:space="preserve">19.44-20.22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4652.777777777778"/>
        <w:tblCaption w:val="Table continues below"/>
      </w:tblPr>
      <w:tblGrid>
        <w:gridCol w:w="1210"/>
        <w:gridCol w:w="2200"/>
        <w:gridCol w:w="187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cyl=6, gear=5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cyl=6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2 (11.11%, 50%)</w:t>
            </w:r>
          </w:p>
        </w:tc>
        <w:tc>
          <w:p>
            <w:pPr>
              <w:pStyle w:val="Compact"/>
              <w:jc w:val="center"/>
            </w:pPr>
            <w:r>
              <w:t xml:space="preserve">1 (5.56%, 100%)</w:t>
            </w:r>
          </w:p>
        </w:tc>
        <w:tc>
          <w:p>
            <w:pPr>
              <w:pStyle w:val="Compact"/>
              <w:jc w:val="center"/>
            </w:pPr>
            <w:r>
              <w:t xml:space="preserve">3 (42.86%)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2 (14.29%, 50%)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4 (57.14%)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17.670 ± 1.125</w:t>
            </w:r>
          </w:p>
        </w:tc>
        <w:tc>
          <w:p>
            <w:pPr>
              <w:pStyle w:val="Compact"/>
              <w:jc w:val="center"/>
            </w:pPr>
            <w:r>
              <w:t xml:space="preserve">15.500 ± NA</w:t>
            </w:r>
          </w:p>
        </w:tc>
        <w:tc>
          <w:p>
            <w:pPr>
              <w:pStyle w:val="Compact"/>
              <w:jc w:val="center"/>
            </w:pPr>
            <w:r>
              <w:t xml:space="preserve">17.977 ± 1.707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17.660</w:t>
            </w:r>
          </w:p>
        </w:tc>
        <w:tc>
          <w:p>
            <w:pPr>
              <w:pStyle w:val="Compact"/>
              <w:jc w:val="center"/>
            </w:pPr>
            <w:r>
              <w:t xml:space="preserve">15.500</w:t>
            </w:r>
          </w:p>
        </w:tc>
        <w:tc>
          <w:p>
            <w:pPr>
              <w:pStyle w:val="Compact"/>
              <w:jc w:val="center"/>
            </w:pPr>
            <w:r>
              <w:t xml:space="preserve">18.300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1.570</w:t>
            </w:r>
          </w:p>
        </w:tc>
        <w:tc>
          <w:p>
            <w:pPr>
              <w:pStyle w:val="Compact"/>
              <w:jc w:val="center"/>
            </w:pPr>
            <w:r>
              <w:t xml:space="preserve">0.000</w:t>
            </w:r>
          </w:p>
        </w:tc>
        <w:tc>
          <w:p>
            <w:pPr>
              <w:pStyle w:val="Compact"/>
              <w:jc w:val="center"/>
            </w:pPr>
            <w:r>
              <w:t xml:space="preserve">2.430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16.46-18.90</w:t>
            </w:r>
          </w:p>
        </w:tc>
        <w:tc>
          <w:p>
            <w:pPr>
              <w:pStyle w:val="Compact"/>
              <w:jc w:val="center"/>
            </w:pPr>
            <w:r>
              <w:t xml:space="preserve">15.50-15.50</w:t>
            </w:r>
          </w:p>
        </w:tc>
        <w:tc>
          <w:p>
            <w:pPr>
              <w:pStyle w:val="Compact"/>
              <w:jc w:val="center"/>
            </w:pPr>
            <w:r>
              <w:t xml:space="preserve">15.50-20.22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3541.666666666667"/>
        <w:tblCaption w:val="Table continues below"/>
      </w:tblPr>
      <w:tblGrid>
        <w:gridCol w:w="1210"/>
        <w:gridCol w:w="2200"/>
        <w:gridCol w:w="220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cyl=8, gear=5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12 (66.67%, 100%)</w:t>
            </w:r>
          </w:p>
        </w:tc>
        <w:tc>
          <w:p>
            <w:pPr>
              <w:pStyle w:val="Compact"/>
              <w:jc w:val="center"/>
            </w:pPr>
            <w:r>
              <w:t xml:space="preserve">2 (11.11%, 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  <w:tc>
          <w:p>
            <w:pPr>
              <w:pStyle w:val="Compact"/>
              <w:jc w:val="center"/>
            </w:pPr>
            <w:r>
              <w:t xml:space="preserve">0 (0%, 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17.143 ± 0.802</w:t>
            </w:r>
          </w:p>
        </w:tc>
        <w:tc>
          <w:p>
            <w:pPr>
              <w:pStyle w:val="Compact"/>
              <w:jc w:val="center"/>
            </w:pPr>
            <w:r>
              <w:t xml:space="preserve">14.550 ± 0.071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17.350</w:t>
            </w:r>
          </w:p>
        </w:tc>
        <w:tc>
          <w:p>
            <w:pPr>
              <w:pStyle w:val="Compact"/>
              <w:jc w:val="center"/>
            </w:pPr>
            <w:r>
              <w:t xml:space="preserve">14.550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0.672</w:t>
            </w:r>
          </w:p>
        </w:tc>
        <w:tc>
          <w:p>
            <w:pPr>
              <w:pStyle w:val="Compact"/>
              <w:jc w:val="center"/>
            </w:pPr>
            <w:r>
              <w:t xml:space="preserve">0.050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15.41-18.00</w:t>
            </w:r>
          </w:p>
        </w:tc>
        <w:tc>
          <w:p>
            <w:pPr>
              <w:pStyle w:val="Compact"/>
              <w:jc w:val="center"/>
            </w:pPr>
            <w:r>
              <w:t xml:space="preserve">14.50-14.60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p>
      <w:pPr>
        <w:pStyle w:val="TableCaption"/>
      </w:pPr>
      <w:r>
        <w:t xml:space="preserve">Table continues below</w:t>
      </w:r>
    </w:p>
    <w:tbl>
      <w:tblPr>
        <w:tblStyle w:val="TableNormal"/>
        <w:tblW w:type="pct" w:w="2083.3333333333335"/>
      </w:tblPr>
      <w:tblGrid>
        <w:gridCol w:w="1210"/>
        <w:gridCol w:w="2090"/>
      </w:tblGrid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 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cyl=8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vs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0</w:t>
            </w:r>
          </w:p>
        </w:tc>
        <w:tc>
          <w:p>
            <w:pPr>
              <w:pStyle w:val="Compact"/>
              <w:jc w:val="center"/>
            </w:pPr>
            <w:r>
              <w:t xml:space="preserve">14 (100%)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0 (0%)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b/>
              </w:rPr>
              <w:t xml:space="preserve">qsec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p>
            <w:pPr>
              <w:pStyle w:val="Compact"/>
              <w:jc w:val="center"/>
            </w:pPr>
            <w:r>
              <w:t xml:space="preserve">16.772 ± 1.196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median</w:t>
            </w:r>
          </w:p>
        </w:tc>
        <w:tc>
          <w:p>
            <w:pPr>
              <w:pStyle w:val="Compact"/>
              <w:jc w:val="center"/>
            </w:pPr>
            <w:r>
              <w:t xml:space="preserve">17.175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IQR</w:t>
            </w:r>
          </w:p>
        </w:tc>
        <w:tc>
          <w:p>
            <w:pPr>
              <w:pStyle w:val="Compact"/>
              <w:jc w:val="center"/>
            </w:pPr>
            <w:r>
              <w:t xml:space="preserve">1.457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14.50-18.00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missing</w:t>
            </w:r>
          </w:p>
        </w:tc>
        <w:tc>
          <w:p>
            <w:pPr>
              <w:pStyle w:val="Compact"/>
              <w:jc w:val="center"/>
            </w:pPr>
            <w:r>
              <w:t xml:space="preserve">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bb124b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SummaryStatsBy Test</dc:title>
  <dc:creator>Derek Chiu</dc:creator>
  <dcterms:created xsi:type="dcterms:W3CDTF">2015-11-16</dcterms:created>
  <dcterms:modified xsi:type="dcterms:W3CDTF">2015-11-16</dcterms:modified>
</cp:coreProperties>
</file>