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800" w:after="0"/>
        <w:jc w:val="left"/>
        <w:rPr/>
      </w:pPr>
      <w:r>
        <w:rPr/>
      </w:r>
    </w:p>
    <w:p>
      <w:pPr>
        <w:pStyle w:val="Normal"/>
        <w:bidi w:val="0"/>
        <w:spacing w:before="0" w:after="0"/>
        <w:jc w:val="center"/>
        <w:rPr>
          <w:rFonts w:ascii="Calibri" w:hAnsi="Calibri" w:eastAsia="Calibri" w:cs="Calibri"/>
          <w:b/>
          <w:b/>
          <w:bCs/>
          <w:i w:val="false"/>
          <w:i w:val="false"/>
          <w:iCs w:val="false"/>
          <w:color w:val="0D3B6E"/>
          <w:sz w:val="60"/>
          <w:szCs w:val="60"/>
        </w:rPr>
      </w:pPr>
      <w:r>
        <w:rPr>
          <w:rFonts w:eastAsia="Calibri" w:cs="Calibri"/>
          <w:b/>
          <w:bCs/>
          <w:i w:val="false"/>
          <w:iCs w:val="false"/>
          <w:color w:val="0D3B6E"/>
          <w:sz w:val="60"/>
          <w:szCs w:val="60"/>
        </w:rPr>
        <w:t>CAHIER DES CHARGES</w:t>
      </w:r>
    </w:p>
    <w:p>
      <w:pPr>
        <w:pStyle w:val="Normal"/>
        <w:bidi w:val="0"/>
        <w:spacing w:before="80" w:after="0"/>
        <w:jc w:val="left"/>
        <w:rPr/>
      </w:pPr>
      <w:r>
        <w:rPr/>
      </w:r>
    </w:p>
    <w:p>
      <w:pPr>
        <w:pStyle w:val="Normal"/>
        <w:bidi w:val="0"/>
        <w:spacing w:before="0" w:after="0"/>
        <w:jc w:val="center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olor w:val="D4AF37"/>
          <w:sz w:val="28"/>
          <w:szCs w:val="28"/>
        </w:rPr>
      </w:pPr>
      <w:r>
        <w:rPr>
          <w:rFonts w:eastAsia="Calibri" w:cs="Calibri"/>
          <w:b w:val="false"/>
          <w:bCs w:val="false"/>
          <w:i w:val="false"/>
          <w:iCs w:val="false"/>
          <w:color w:val="D4AF37"/>
          <w:sz w:val="28"/>
          <w:szCs w:val="28"/>
        </w:rPr>
        <w:t>Version 2.0 — Améliorée &amp; Consolidée</w:t>
      </w:r>
    </w:p>
    <w:p>
      <w:pPr>
        <w:pStyle w:val="Normal"/>
        <w:bidi w:val="0"/>
        <w:spacing w:before="200" w:after="0"/>
        <w:jc w:val="left"/>
        <w:rPr/>
      </w:pPr>
      <w:r>
        <w:rPr/>
      </w:r>
    </w:p>
    <w:tbl>
      <w:tblPr>
        <w:tblW w:w="6000" w:type="dxa"/>
        <w:jc w:val="left"/>
        <w:tblInd w:w="0" w:type="dxa"/>
        <w:tblLayout w:type="fixed"/>
        <w:tblCellMar>
          <w:top w:w="200" w:type="dxa"/>
          <w:left w:w="300" w:type="dxa"/>
          <w:bottom w:w="200" w:type="dxa"/>
          <w:right w:w="300" w:type="dxa"/>
        </w:tblCellMar>
      </w:tblPr>
      <w:tblGrid>
        <w:gridCol w:w="6000"/>
      </w:tblGrid>
      <w:tr>
        <w:trPr/>
        <w:tc>
          <w:tcPr>
            <w:tcW w:w="6000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140" w:after="140"/>
              <w:jc w:val="center"/>
              <w:rPr>
                <w:rFonts w:ascii="Calibri" w:hAnsi="Calibri" w:eastAsia="Calibri" w:cs="Calibri"/>
                <w:b/>
                <w:b/>
                <w:bCs/>
                <w:color w:val="FFFFFF"/>
                <w:sz w:val="44"/>
                <w:szCs w:val="44"/>
              </w:rPr>
            </w:pPr>
            <w:r>
              <w:rPr>
                <w:rFonts w:eastAsia="Calibri" w:cs="Calibri"/>
                <w:b/>
                <w:bCs/>
                <w:color w:val="FFFFFF"/>
                <w:sz w:val="44"/>
                <w:szCs w:val="44"/>
              </w:rPr>
              <w:t>fiscX</w:t>
            </w:r>
          </w:p>
        </w:tc>
      </w:tr>
    </w:tbl>
    <w:p>
      <w:pPr>
        <w:pStyle w:val="Normal"/>
        <w:bidi w:val="0"/>
        <w:spacing w:before="120" w:after="0"/>
        <w:jc w:val="left"/>
        <w:rPr/>
      </w:pPr>
      <w:r>
        <w:rPr/>
      </w:r>
    </w:p>
    <w:p>
      <w:pPr>
        <w:pStyle w:val="Normal"/>
        <w:bidi w:val="0"/>
        <w:spacing w:before="60" w:after="60"/>
        <w:jc w:val="center"/>
        <w:rPr>
          <w:rFonts w:ascii="Calibri" w:hAnsi="Calibri" w:eastAsia="Calibri" w:cs="Calibri"/>
          <w:b w:val="false"/>
          <w:b w:val="false"/>
          <w:bCs w:val="false"/>
          <w:i/>
          <w:i/>
          <w:iCs/>
          <w:color w:val="5D6D7E"/>
          <w:sz w:val="26"/>
          <w:szCs w:val="26"/>
        </w:rPr>
      </w:pPr>
      <w:r>
        <w:rPr>
          <w:rFonts w:eastAsia="Calibri" w:cs="Calibri"/>
          <w:b w:val="false"/>
          <w:bCs w:val="false"/>
          <w:i/>
          <w:iCs/>
          <w:color w:val="5D6D7E"/>
          <w:sz w:val="26"/>
          <w:szCs w:val="26"/>
        </w:rPr>
        <w:t>Digitaliser la gestion financière du secteur informel africain</w:t>
      </w:r>
    </w:p>
    <w:p>
      <w:pPr>
        <w:pStyle w:val="Normal"/>
        <w:bidi w:val="0"/>
        <w:spacing w:before="400" w:after="0"/>
        <w:jc w:val="left"/>
        <w:rPr/>
      </w:pPr>
      <w:r>
        <w:rPr/>
      </w:r>
    </w:p>
    <w:tbl>
      <w:tblPr>
        <w:tblW w:w="50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000"/>
        <w:gridCol w:w="3000"/>
      </w:tblGrid>
      <w:tr>
        <w:trPr/>
        <w:tc>
          <w:tcPr>
            <w:tcW w:w="2000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E8F1FA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2.0 — Mars 2026</w:t>
            </w:r>
          </w:p>
        </w:tc>
      </w:tr>
      <w:tr>
        <w:trPr/>
        <w:tc>
          <w:tcPr>
            <w:tcW w:w="2000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3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E8F1FA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Document de référence</w:t>
            </w:r>
          </w:p>
        </w:tc>
      </w:tr>
      <w:tr>
        <w:trPr/>
        <w:tc>
          <w:tcPr>
            <w:tcW w:w="2000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Cible</w:t>
            </w:r>
          </w:p>
        </w:tc>
        <w:tc>
          <w:tcPr>
            <w:tcW w:w="3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E8F1FA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Commerçants, artisans, micro-entrepreneurs</w:t>
            </w:r>
          </w:p>
        </w:tc>
      </w:tr>
      <w:tr>
        <w:trPr/>
        <w:tc>
          <w:tcPr>
            <w:tcW w:w="2000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Périmètre</w:t>
            </w:r>
          </w:p>
        </w:tc>
        <w:tc>
          <w:tcPr>
            <w:tcW w:w="3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E8F1FA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Afrique subsaharienne francophone</w:t>
            </w:r>
          </w:p>
        </w:tc>
      </w:tr>
      <w:tr>
        <w:trPr/>
        <w:tc>
          <w:tcPr>
            <w:tcW w:w="2000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Confidentialité</w:t>
            </w:r>
          </w:p>
        </w:tc>
        <w:tc>
          <w:tcPr>
            <w:tcW w:w="3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E8F1FA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Usage interne — confidentiel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Titre1"/>
        <w:pBdr>
          <w:bottom w:val="single" w:sz="8" w:space="4" w:color="D4AF37"/>
        </w:pBdr>
        <w:bidi w:val="0"/>
        <w:spacing w:before="500" w:after="200"/>
        <w:jc w:val="left"/>
        <w:rPr>
          <w:rFonts w:ascii="Calibri" w:hAnsi="Calibri" w:eastAsia="Calibri" w:cs="Calibri"/>
          <w:b/>
          <w:b/>
          <w:bCs/>
          <w:color w:val="0D3B6E"/>
          <w:sz w:val="34"/>
          <w:szCs w:val="34"/>
        </w:rPr>
      </w:pPr>
      <w:r>
        <w:rPr>
          <w:rFonts w:eastAsia="Calibri" w:cs="Calibri" w:ascii="Calibri" w:hAnsi="Calibri"/>
          <w:b/>
          <w:bCs/>
          <w:color w:val="0D3B6E"/>
          <w:sz w:val="34"/>
          <w:szCs w:val="34"/>
        </w:rPr>
        <w:t>Sommaire</w:t>
      </w:r>
    </w:p>
    <w:p>
      <w:pPr>
        <w:pStyle w:val="Normal"/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1.      Présentation et Vision du Projet</w:t>
      </w:r>
    </w:p>
    <w:p>
      <w:pPr>
        <w:pStyle w:val="Normal"/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2.      Définition des Parties Prenantes</w:t>
      </w:r>
    </w:p>
    <w:p>
      <w:pPr>
        <w:pStyle w:val="Normal"/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3.      Spécifications Fonctionnelles</w:t>
      </w:r>
    </w:p>
    <w:p>
      <w:pPr>
        <w:pStyle w:val="Normal"/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 xml:space="preserve">   </w:t>
      </w:r>
      <w:r>
        <w:rPr>
          <w:rFonts w:eastAsia="Calibri" w:cs="Calibri"/>
          <w:color w:val="1C2833"/>
          <w:sz w:val="21"/>
          <w:szCs w:val="21"/>
        </w:rPr>
        <w:t>3.1  Module Saisie &amp; Gestion Quotidienne</w:t>
      </w:r>
    </w:p>
    <w:p>
      <w:pPr>
        <w:pStyle w:val="Normal"/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 xml:space="preserve">   </w:t>
      </w:r>
      <w:r>
        <w:rPr>
          <w:rFonts w:eastAsia="Calibri" w:cs="Calibri"/>
          <w:color w:val="1C2833"/>
          <w:sz w:val="21"/>
          <w:szCs w:val="21"/>
        </w:rPr>
        <w:t>3.2  Module Stock</w:t>
      </w:r>
    </w:p>
    <w:p>
      <w:pPr>
        <w:pStyle w:val="Normal"/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 xml:space="preserve">   </w:t>
      </w:r>
      <w:r>
        <w:rPr>
          <w:rFonts w:eastAsia="Calibri" w:cs="Calibri"/>
          <w:color w:val="1C2833"/>
          <w:sz w:val="21"/>
          <w:szCs w:val="21"/>
        </w:rPr>
        <w:t>3.3  Module Fiscal &amp; Comptable</w:t>
      </w:r>
    </w:p>
    <w:p>
      <w:pPr>
        <w:pStyle w:val="Normal"/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 xml:space="preserve">   </w:t>
      </w:r>
      <w:r>
        <w:rPr>
          <w:rFonts w:eastAsia="Calibri" w:cs="Calibri"/>
          <w:color w:val="1C2833"/>
          <w:sz w:val="21"/>
          <w:szCs w:val="21"/>
        </w:rPr>
        <w:t>3.4  Module Prêt Bancaire &amp; Score de Crédit</w:t>
      </w:r>
    </w:p>
    <w:p>
      <w:pPr>
        <w:pStyle w:val="Normal"/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 xml:space="preserve">   </w:t>
      </w:r>
      <w:r>
        <w:rPr>
          <w:rFonts w:eastAsia="Calibri" w:cs="Calibri"/>
          <w:color w:val="1C2833"/>
          <w:sz w:val="21"/>
          <w:szCs w:val="21"/>
        </w:rPr>
        <w:t>3.5  Module Administration</w:t>
      </w:r>
    </w:p>
    <w:p>
      <w:pPr>
        <w:pStyle w:val="Normal"/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4.      Mode Offline &amp; Synchronisation</w:t>
      </w:r>
    </w:p>
    <w:p>
      <w:pPr>
        <w:pStyle w:val="Normal"/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5.      Architecture Technique</w:t>
      </w:r>
    </w:p>
    <w:p>
      <w:pPr>
        <w:pStyle w:val="Normal"/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6.      Sécurité, Immuabilité &amp; Conformité</w:t>
      </w:r>
    </w:p>
    <w:p>
      <w:pPr>
        <w:pStyle w:val="Normal"/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7.      Interfaces et Expérience Utilisateur (UX)</w:t>
      </w:r>
    </w:p>
    <w:p>
      <w:pPr>
        <w:pStyle w:val="Normal"/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8.      Contraintes Légales &amp; Réglementaires</w:t>
      </w:r>
    </w:p>
    <w:p>
      <w:pPr>
        <w:pStyle w:val="Normal"/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9.      Gestion Documentaire (Reçus &amp; Archives)</w:t>
      </w:r>
    </w:p>
    <w:p>
      <w:pPr>
        <w:pStyle w:val="Normal"/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10.     Planning Prévisionnel Révisé</w:t>
      </w:r>
    </w:p>
    <w:p>
      <w:pPr>
        <w:pStyle w:val="Normal"/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11.     Glossaire</w:t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Titre1"/>
        <w:pBdr>
          <w:bottom w:val="single" w:sz="8" w:space="4" w:color="D4AF37"/>
        </w:pBdr>
        <w:bidi w:val="0"/>
        <w:spacing w:before="500" w:after="200"/>
        <w:jc w:val="left"/>
        <w:rPr>
          <w:rFonts w:ascii="Calibri" w:hAnsi="Calibri" w:eastAsia="Calibri" w:cs="Calibri"/>
          <w:b/>
          <w:b/>
          <w:bCs/>
          <w:color w:val="0D3B6E"/>
          <w:sz w:val="34"/>
          <w:szCs w:val="34"/>
        </w:rPr>
      </w:pPr>
      <w:r>
        <w:rPr>
          <w:rFonts w:eastAsia="Calibri" w:cs="Calibri" w:ascii="Calibri" w:hAnsi="Calibri"/>
          <w:b/>
          <w:bCs/>
          <w:color w:val="0D3B6E"/>
          <w:sz w:val="34"/>
          <w:szCs w:val="34"/>
        </w:rPr>
        <w:t>1. Présentation et Vision du Projet</w:t>
      </w:r>
    </w:p>
    <w:p>
      <w:pPr>
        <w:pStyle w:val="Titre2"/>
        <w:bidi w:val="0"/>
        <w:spacing w:before="320" w:after="140"/>
        <w:jc w:val="left"/>
        <w:rPr>
          <w:rFonts w:ascii="Calibri" w:hAnsi="Calibri" w:eastAsia="Calibri" w:cs="Calibri"/>
          <w:b/>
          <w:b/>
          <w:bCs/>
          <w:color w:val="1A6FB5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1A6FB5"/>
          <w:sz w:val="26"/>
          <w:szCs w:val="26"/>
        </w:rPr>
        <w:t>1.1  Contexte</w:t>
      </w:r>
    </w:p>
    <w:p>
      <w:pPr>
        <w:pStyle w:val="Normal"/>
        <w:bidi w:val="0"/>
        <w:spacing w:before="80" w:after="80"/>
        <w:jc w:val="both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olor w:val="1C2833"/>
          <w:sz w:val="22"/>
          <w:szCs w:val="22"/>
        </w:rPr>
      </w:pPr>
      <w:r>
        <w:rPr>
          <w:rFonts w:eastAsia="Calibri" w:cs="Calibri"/>
          <w:b w:val="false"/>
          <w:bCs w:val="false"/>
          <w:i w:val="false"/>
          <w:iCs w:val="false"/>
          <w:color w:val="1C2833"/>
          <w:sz w:val="22"/>
          <w:szCs w:val="22"/>
        </w:rPr>
        <w:t>Plus de 80 % des acteurs économiques d'Afrique subsaharienne opèrent dans le secteur informel, sans comptabilité formelle ni accès au crédit bancaire. Cette informalité génère un cercle vicieux : sans historique financier, pas de prêt ; sans prêt, pas de croissance. TaxBridge vise à briser ce cercle en fournissant un outil de gestion simple, certifié et interconnecté avec le système bancaire.</w:t>
      </w:r>
    </w:p>
    <w:p>
      <w:pPr>
        <w:pStyle w:val="Titre2"/>
        <w:bidi w:val="0"/>
        <w:spacing w:before="320" w:after="140"/>
        <w:jc w:val="left"/>
        <w:rPr>
          <w:rFonts w:ascii="Calibri" w:hAnsi="Calibri" w:eastAsia="Calibri" w:cs="Calibri"/>
          <w:b/>
          <w:b/>
          <w:bCs/>
          <w:color w:val="1A6FB5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1A6FB5"/>
          <w:sz w:val="26"/>
          <w:szCs w:val="26"/>
        </w:rPr>
        <w:t>1.2  Nom du Projet</w:t>
      </w:r>
    </w:p>
    <w:p>
      <w:pPr>
        <w:pStyle w:val="Normal"/>
        <w:bidi w:val="0"/>
        <w:spacing w:before="80" w:after="80"/>
        <w:jc w:val="both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olor w:val="1C2833"/>
          <w:sz w:val="22"/>
          <w:szCs w:val="22"/>
        </w:rPr>
      </w:pPr>
      <w:r>
        <w:rPr>
          <w:rFonts w:eastAsia="Calibri" w:cs="Calibri"/>
          <w:b w:val="false"/>
          <w:bCs w:val="false"/>
          <w:i w:val="false"/>
          <w:iCs w:val="false"/>
          <w:color w:val="1C2833"/>
          <w:sz w:val="22"/>
          <w:szCs w:val="22"/>
        </w:rPr>
        <w:t>TaxBridge (nom commercial) — également désigné Kadiatou-Gestion dans les marchés francophones. Le nom reflète la mission : construire un pont (Bridge) entre l'économie informelle et le système fiscal et bancaire formel.</w:t>
      </w:r>
    </w:p>
    <w:p>
      <w:pPr>
        <w:pStyle w:val="Titre2"/>
        <w:bidi w:val="0"/>
        <w:spacing w:before="320" w:after="140"/>
        <w:jc w:val="left"/>
        <w:rPr>
          <w:rFonts w:ascii="Calibri" w:hAnsi="Calibri" w:eastAsia="Calibri" w:cs="Calibri"/>
          <w:b/>
          <w:b/>
          <w:bCs/>
          <w:color w:val="1A6FB5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1A6FB5"/>
          <w:sz w:val="26"/>
          <w:szCs w:val="26"/>
        </w:rPr>
        <w:t>1.3  Objectifs</w:t>
      </w:r>
    </w:p>
    <w:p>
      <w:pPr>
        <w:pStyle w:val="ListParagraph"/>
        <w:numPr>
          <w:ilvl w:val="0"/>
          <w:numId w:val="3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Principal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Fournir aux micro-entrepreneurs un outil de saisie de leurs flux financiers générant des états certifiés.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Secondaire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Constituer un historique financier crédible ouvrant l'accès au crédit bancaire.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Tertiaire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Aider les administrations fiscales à élargir l'assiette taxable via des déclarations auto-générées.</w:t>
      </w:r>
    </w:p>
    <w:p>
      <w:pPr>
        <w:pStyle w:val="Titre2"/>
        <w:bidi w:val="0"/>
        <w:spacing w:before="320" w:after="140"/>
        <w:jc w:val="left"/>
        <w:rPr>
          <w:rFonts w:ascii="Calibri" w:hAnsi="Calibri" w:eastAsia="Calibri" w:cs="Calibri"/>
          <w:b/>
          <w:b/>
          <w:bCs/>
          <w:color w:val="1A6FB5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1A6FB5"/>
          <w:sz w:val="26"/>
          <w:szCs w:val="26"/>
        </w:rPr>
        <w:t>1.4  Public Cible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199"/>
        <w:gridCol w:w="3501"/>
        <w:gridCol w:w="3500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Profil</w:t>
            </w:r>
          </w:p>
        </w:tc>
        <w:tc>
          <w:tcPr>
            <w:tcW w:w="3501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Caractéristiques</w:t>
            </w:r>
          </w:p>
        </w:tc>
        <w:tc>
          <w:tcPr>
            <w:tcW w:w="3500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Besoins prioritaires</w:t>
            </w:r>
          </w:p>
        </w:tc>
      </w:tr>
      <w:tr>
        <w:trPr/>
        <w:tc>
          <w:tcPr>
            <w:tcW w:w="2199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Commerçant de détail</w:t>
            </w:r>
          </w:p>
        </w:tc>
        <w:tc>
          <w:tcPr>
            <w:tcW w:w="3501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Faible alphabétisation numérique, smartphone Android d'entrée de gamme, connexion intermittente</w:t>
            </w:r>
          </w:p>
        </w:tc>
        <w:tc>
          <w:tcPr>
            <w:tcW w:w="35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Saisie ultra-simple, mode offline, alertes stock</w:t>
            </w:r>
          </w:p>
        </w:tc>
      </w:tr>
      <w:tr>
        <w:trPr/>
        <w:tc>
          <w:tcPr>
            <w:tcW w:w="2199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Artisan / Prestataire</w:t>
            </w:r>
          </w:p>
        </w:tc>
        <w:tc>
          <w:tcPr>
            <w:tcW w:w="3501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Revenus irréguliers, facturation informelle</w:t>
            </w:r>
          </w:p>
        </w:tc>
        <w:tc>
          <w:tcPr>
            <w:tcW w:w="35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Suivi des encaissements, devis simples</w:t>
            </w:r>
          </w:p>
        </w:tc>
      </w:tr>
      <w:tr>
        <w:trPr/>
        <w:tc>
          <w:tcPr>
            <w:tcW w:w="2199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Micro-entrepreneur</w:t>
            </w:r>
          </w:p>
        </w:tc>
        <w:tc>
          <w:tcPr>
            <w:tcW w:w="3501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Connaissance partielle de la fiscalité</w:t>
            </w:r>
          </w:p>
        </w:tc>
        <w:tc>
          <w:tcPr>
            <w:tcW w:w="35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Calcul automatique impôt, rapports annuels</w:t>
            </w:r>
          </w:p>
        </w:tc>
      </w:tr>
      <w:tr>
        <w:trPr/>
        <w:tc>
          <w:tcPr>
            <w:tcW w:w="2199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Agent bancaire</w:t>
            </w:r>
          </w:p>
        </w:tc>
        <w:tc>
          <w:tcPr>
            <w:tcW w:w="3501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Tableau de bord web, analyse de risque</w:t>
            </w:r>
          </w:p>
        </w:tc>
        <w:tc>
          <w:tcPr>
            <w:tcW w:w="35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Score de crédit, historique certifié, consentement</w:t>
            </w:r>
          </w:p>
        </w:tc>
      </w:tr>
      <w:tr>
        <w:trPr/>
        <w:tc>
          <w:tcPr>
            <w:tcW w:w="2199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Administrateur</w:t>
            </w:r>
          </w:p>
        </w:tc>
        <w:tc>
          <w:tcPr>
            <w:tcW w:w="3501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Gestion de la plateforme, conformité</w:t>
            </w:r>
          </w:p>
        </w:tc>
        <w:tc>
          <w:tcPr>
            <w:tcW w:w="35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Supervision, mise à jour fiscale, audit</w:t>
            </w:r>
          </w:p>
        </w:tc>
      </w:tr>
    </w:tbl>
    <w:p>
      <w:pPr>
        <w:pStyle w:val="Titre2"/>
        <w:bidi w:val="0"/>
        <w:spacing w:before="320" w:after="140"/>
        <w:jc w:val="left"/>
        <w:rPr>
          <w:rFonts w:ascii="Calibri" w:hAnsi="Calibri" w:eastAsia="Calibri" w:cs="Calibri"/>
          <w:b/>
          <w:b/>
          <w:bCs/>
          <w:color w:val="1A6FB5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1A6FB5"/>
          <w:sz w:val="26"/>
          <w:szCs w:val="26"/>
        </w:rPr>
        <w:t>1.5  Valeur Différenciante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Immuabilité légale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aucune donnée financière ne peut être effacée — valeur probante en justice.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Certification QR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chaque bilan inclut un QR code vérifiable en ligne par le banquier.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Score de crédit transparent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l'algorithme est explicable et contestable par le commerçant.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Offline-first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conçu pour fonctionner sans réseau, adapté à la réalité africaine.</w:t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Titre1"/>
        <w:pBdr>
          <w:bottom w:val="single" w:sz="8" w:space="4" w:color="D4AF37"/>
        </w:pBdr>
        <w:bidi w:val="0"/>
        <w:spacing w:before="500" w:after="200"/>
        <w:jc w:val="left"/>
        <w:rPr>
          <w:rFonts w:ascii="Calibri" w:hAnsi="Calibri" w:eastAsia="Calibri" w:cs="Calibri"/>
          <w:b/>
          <w:b/>
          <w:bCs/>
          <w:color w:val="0D3B6E"/>
          <w:sz w:val="34"/>
          <w:szCs w:val="34"/>
        </w:rPr>
      </w:pPr>
      <w:r>
        <w:rPr>
          <w:rFonts w:eastAsia="Calibri" w:cs="Calibri" w:ascii="Calibri" w:hAnsi="Calibri"/>
          <w:b/>
          <w:bCs/>
          <w:color w:val="0D3B6E"/>
          <w:sz w:val="34"/>
          <w:szCs w:val="34"/>
        </w:rPr>
        <w:t>2. Définition des Parties Prenantes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000"/>
        <w:gridCol w:w="2400"/>
        <w:gridCol w:w="2399"/>
        <w:gridCol w:w="2401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Partie prenante</w:t>
            </w:r>
          </w:p>
        </w:tc>
        <w:tc>
          <w:tcPr>
            <w:tcW w:w="2400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Rôle dans le système</w:t>
            </w:r>
          </w:p>
        </w:tc>
        <w:tc>
          <w:tcPr>
            <w:tcW w:w="2399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Accès</w:t>
            </w:r>
          </w:p>
        </w:tc>
        <w:tc>
          <w:tcPr>
            <w:tcW w:w="2401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Données accessibles</w:t>
            </w:r>
          </w:p>
        </w:tc>
      </w:tr>
      <w:tr>
        <w:trPr/>
        <w:tc>
          <w:tcPr>
            <w:tcW w:w="2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Commerçant</w:t>
            </w:r>
          </w:p>
        </w:tc>
        <w:tc>
          <w:tcPr>
            <w:tcW w:w="2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Utilisateur principal — saisit les transactions</w:t>
            </w:r>
          </w:p>
        </w:tc>
        <w:tc>
          <w:tcPr>
            <w:tcW w:w="2399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App mobile</w:t>
            </w:r>
          </w:p>
        </w:tc>
        <w:tc>
          <w:tcPr>
            <w:tcW w:w="2401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Ses propres données uniquement</w:t>
            </w:r>
          </w:p>
        </w:tc>
      </w:tr>
      <w:tr>
        <w:trPr/>
        <w:tc>
          <w:tcPr>
            <w:tcW w:w="2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Agent bancaire</w:t>
            </w:r>
          </w:p>
        </w:tc>
        <w:tc>
          <w:tcPr>
            <w:tcW w:w="2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Consult. des dossiers avec consentement</w:t>
            </w:r>
          </w:p>
        </w:tc>
        <w:tc>
          <w:tcPr>
            <w:tcW w:w="2399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Dashboard web sécurisé</w:t>
            </w:r>
          </w:p>
        </w:tc>
        <w:tc>
          <w:tcPr>
            <w:tcW w:w="2401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Score + historique (périmètre consenti)</w:t>
            </w:r>
          </w:p>
        </w:tc>
      </w:tr>
      <w:tr>
        <w:trPr/>
        <w:tc>
          <w:tcPr>
            <w:tcW w:w="2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Administrateur</w:t>
            </w:r>
          </w:p>
        </w:tc>
        <w:tc>
          <w:tcPr>
            <w:tcW w:w="2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Gestion de la plateforme</w:t>
            </w:r>
          </w:p>
        </w:tc>
        <w:tc>
          <w:tcPr>
            <w:tcW w:w="2399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Back-office web</w:t>
            </w:r>
          </w:p>
        </w:tc>
        <w:tc>
          <w:tcPr>
            <w:tcW w:w="2401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Toutes données anonymisées + logs</w:t>
            </w:r>
          </w:p>
        </w:tc>
      </w:tr>
      <w:tr>
        <w:trPr/>
        <w:tc>
          <w:tcPr>
            <w:tcW w:w="2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Régulateur fiscal</w:t>
            </w:r>
          </w:p>
        </w:tc>
        <w:tc>
          <w:tcPr>
            <w:tcW w:w="2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Validation des déclarations (futur)</w:t>
            </w:r>
          </w:p>
        </w:tc>
        <w:tc>
          <w:tcPr>
            <w:tcW w:w="2399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API partenaire (phase 3)</w:t>
            </w:r>
          </w:p>
        </w:tc>
        <w:tc>
          <w:tcPr>
            <w:tcW w:w="2401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Données agrégées anonymisées</w:t>
            </w:r>
          </w:p>
        </w:tc>
      </w:tr>
      <w:tr>
        <w:trPr/>
        <w:tc>
          <w:tcPr>
            <w:tcW w:w="2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Partenaire KYC</w:t>
            </w:r>
          </w:p>
        </w:tc>
        <w:tc>
          <w:tcPr>
            <w:tcW w:w="2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Vérification d'identité</w:t>
            </w:r>
          </w:p>
        </w:tc>
        <w:tc>
          <w:tcPr>
            <w:tcW w:w="2399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API externe</w:t>
            </w:r>
          </w:p>
        </w:tc>
        <w:tc>
          <w:tcPr>
            <w:tcW w:w="2401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Données identité uniquement</w:t>
            </w:r>
          </w:p>
        </w:tc>
      </w:tr>
    </w:tbl>
    <w:p>
      <w:pPr>
        <w:pStyle w:val="Normal"/>
        <w:bidi w:val="0"/>
        <w:spacing w:before="120" w:after="0"/>
        <w:jc w:val="left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2" w:space="0" w:color="1A6FB5"/>
              <w:left w:val="single" w:sz="2" w:space="0" w:color="1A6FB5"/>
              <w:bottom w:val="single" w:sz="2" w:space="0" w:color="1A6FB5"/>
              <w:right w:val="single" w:sz="2" w:space="0" w:color="1A6FB5"/>
            </w:tcBorders>
            <w:shd w:fill="1A6FB5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21"/>
                <w:szCs w:val="21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📋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Principe de séparation des droits</w:t>
            </w:r>
          </w:p>
        </w:tc>
      </w:tr>
      <w:tr>
        <w:trPr/>
        <w:tc>
          <w:tcPr>
            <w:tcW w:w="9200" w:type="dxa"/>
            <w:tcBorders>
              <w:top w:val="single" w:sz="2" w:space="0" w:color="1A6FB5"/>
              <w:left w:val="single" w:sz="2" w:space="0" w:color="1A6FB5"/>
              <w:bottom w:val="single" w:sz="2" w:space="0" w:color="1A6FB5"/>
              <w:right w:val="single" w:sz="2" w:space="0" w:color="1A6FB5"/>
            </w:tcBorders>
            <w:shd w:fill="E8F1FA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Row-Level Security (RLS) en base de données : un commerçant ne peut accéder qu'à ses propres lignes.</w:t>
            </w:r>
          </w:p>
        </w:tc>
      </w:tr>
      <w:tr>
        <w:trPr/>
        <w:tc>
          <w:tcPr>
            <w:tcW w:w="9200" w:type="dxa"/>
            <w:tcBorders>
              <w:top w:val="single" w:sz="2" w:space="0" w:color="1A6FB5"/>
              <w:left w:val="single" w:sz="2" w:space="0" w:color="1A6FB5"/>
              <w:bottom w:val="single" w:sz="2" w:space="0" w:color="1A6FB5"/>
              <w:right w:val="single" w:sz="2" w:space="0" w:color="1A6FB5"/>
            </w:tcBorders>
            <w:shd w:fill="E8F1FA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Les agents bancaires n'ont accès qu'aux dossiers pour lesquels un consentement actif existe.</w:t>
            </w:r>
          </w:p>
        </w:tc>
      </w:tr>
      <w:tr>
        <w:trPr/>
        <w:tc>
          <w:tcPr>
            <w:tcW w:w="9200" w:type="dxa"/>
            <w:tcBorders>
              <w:top w:val="single" w:sz="2" w:space="0" w:color="1A6FB5"/>
              <w:left w:val="single" w:sz="2" w:space="0" w:color="1A6FB5"/>
              <w:bottom w:val="single" w:sz="2" w:space="0" w:color="1A6FB5"/>
              <w:right w:val="single" w:sz="2" w:space="0" w:color="1A6FB5"/>
            </w:tcBorders>
            <w:shd w:fill="E8F1FA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Aucune donnée brute n'est exposée à des tiers sans token de session horodaté et révocable.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Titre1"/>
        <w:pBdr>
          <w:bottom w:val="single" w:sz="8" w:space="4" w:color="D4AF37"/>
        </w:pBdr>
        <w:bidi w:val="0"/>
        <w:spacing w:before="500" w:after="200"/>
        <w:jc w:val="left"/>
        <w:rPr>
          <w:rFonts w:ascii="Calibri" w:hAnsi="Calibri" w:eastAsia="Calibri" w:cs="Calibri"/>
          <w:b/>
          <w:b/>
          <w:bCs/>
          <w:color w:val="0D3B6E"/>
          <w:sz w:val="34"/>
          <w:szCs w:val="34"/>
        </w:rPr>
      </w:pPr>
      <w:r>
        <w:rPr>
          <w:rFonts w:eastAsia="Calibri" w:cs="Calibri" w:ascii="Calibri" w:hAnsi="Calibri"/>
          <w:b/>
          <w:bCs/>
          <w:color w:val="0D3B6E"/>
          <w:sz w:val="34"/>
          <w:szCs w:val="34"/>
        </w:rPr>
        <w:t>3. Spécifications Fonctionnelles</w:t>
      </w:r>
    </w:p>
    <w:p>
      <w:pPr>
        <w:pStyle w:val="Titre2"/>
        <w:bidi w:val="0"/>
        <w:spacing w:before="320" w:after="140"/>
        <w:jc w:val="left"/>
        <w:rPr>
          <w:rFonts w:ascii="Calibri" w:hAnsi="Calibri" w:eastAsia="Calibri" w:cs="Calibri"/>
          <w:b/>
          <w:b/>
          <w:bCs/>
          <w:color w:val="1A6FB5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1A6FB5"/>
          <w:sz w:val="26"/>
          <w:szCs w:val="26"/>
        </w:rPr>
        <w:t>3.1  Module A — Saisie &amp; Gestion Quotidienne</w:t>
      </w:r>
    </w:p>
    <w:p>
      <w:pPr>
        <w:pStyle w:val="Titre3"/>
        <w:bidi w:val="0"/>
        <w:spacing w:before="220" w:after="100"/>
        <w:jc w:val="left"/>
        <w:rPr>
          <w:rFonts w:ascii="Calibri" w:hAnsi="Calibri" w:eastAsia="Calibri" w:cs="Calibri"/>
          <w:b/>
          <w:b/>
          <w:bCs/>
          <w:color w:val="0D3B6E"/>
          <w:sz w:val="23"/>
          <w:szCs w:val="23"/>
        </w:rPr>
      </w:pPr>
      <w:r>
        <w:rPr>
          <w:rFonts w:eastAsia="Calibri" w:cs="Calibri" w:ascii="Calibri" w:hAnsi="Calibri"/>
          <w:b/>
          <w:bCs/>
          <w:color w:val="0D3B6E"/>
          <w:sz w:val="23"/>
          <w:szCs w:val="23"/>
        </w:rPr>
        <w:t>3.1.1  Enregistrement des flux financiers</w:t>
      </w:r>
    </w:p>
    <w:p>
      <w:pPr>
        <w:pStyle w:val="Normal"/>
        <w:bidi w:val="0"/>
        <w:spacing w:before="80" w:after="80"/>
        <w:jc w:val="both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olor w:val="1C2833"/>
          <w:sz w:val="22"/>
          <w:szCs w:val="22"/>
        </w:rPr>
      </w:pPr>
      <w:r>
        <w:rPr>
          <w:rFonts w:eastAsia="Calibri" w:cs="Calibri"/>
          <w:b w:val="false"/>
          <w:bCs w:val="false"/>
          <w:i w:val="false"/>
          <w:iCs w:val="false"/>
          <w:color w:val="1C2833"/>
          <w:sz w:val="22"/>
          <w:szCs w:val="22"/>
        </w:rPr>
        <w:t>L'interface de saisie est conçue pour être utilisable en moins de 30 secondes par transaction, avec un minimum de champs obligatoires.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Ventes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Produit (liste déroulante ou texte libre), Quantité, Prix unitaire → montant calculé automatiquement.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Dépenses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Catégorie (Loyer, Stock, Transport, Salaire, Autre), Montant, Description optionnelle.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Saisie rapide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mode '1 tap' permettant de sélectionner un produit fréquent et valider en un geste.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Saisie vocale (MVP : français/anglais uniquement)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reconnaissance vocale via Google ML Kit offline. Le résultat pré-remplit les champs — l'utilisateur valide visuellement avant enregistrement. Les langues locales (Wolof, Fon, Haoussa) sont prévues en Phase 2 après collecte d'un corpus.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Photo de reçu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prise de photo ou import galerie, compression automatique WebP avant upload.</w:t>
      </w:r>
    </w:p>
    <w:p>
      <w:pPr>
        <w:pStyle w:val="Titre3"/>
        <w:bidi w:val="0"/>
        <w:spacing w:before="220" w:after="100"/>
        <w:jc w:val="left"/>
        <w:rPr>
          <w:rFonts w:ascii="Calibri" w:hAnsi="Calibri" w:eastAsia="Calibri" w:cs="Calibri"/>
          <w:b/>
          <w:b/>
          <w:bCs/>
          <w:color w:val="0D3B6E"/>
          <w:sz w:val="23"/>
          <w:szCs w:val="23"/>
        </w:rPr>
      </w:pPr>
      <w:r>
        <w:rPr>
          <w:rFonts w:eastAsia="Calibri" w:cs="Calibri" w:ascii="Calibri" w:hAnsi="Calibri"/>
          <w:b/>
          <w:bCs/>
          <w:color w:val="0D3B6E"/>
          <w:sz w:val="23"/>
          <w:szCs w:val="23"/>
        </w:rPr>
        <w:t>3.1.2  Règle d'immuabilité des transactions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2" w:space="0" w:color="B03A2E"/>
              <w:left w:val="single" w:sz="2" w:space="0" w:color="B03A2E"/>
              <w:bottom w:val="single" w:sz="2" w:space="0" w:color="B03A2E"/>
              <w:right w:val="single" w:sz="2" w:space="0" w:color="B03A2E"/>
            </w:tcBorders>
            <w:shd w:fill="B03A2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21"/>
                <w:szCs w:val="21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⛔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Règle absolue — Aucune suppression de transaction</w:t>
            </w:r>
          </w:p>
        </w:tc>
      </w:tr>
      <w:tr>
        <w:trPr/>
        <w:tc>
          <w:tcPr>
            <w:tcW w:w="9200" w:type="dxa"/>
            <w:tcBorders>
              <w:top w:val="single" w:sz="2" w:space="0" w:color="B03A2E"/>
              <w:left w:val="single" w:sz="2" w:space="0" w:color="B03A2E"/>
              <w:bottom w:val="single" w:sz="2" w:space="0" w:color="B03A2E"/>
              <w:right w:val="single" w:sz="2" w:space="0" w:color="B03A2E"/>
            </w:tcBorders>
            <w:shd w:fill="FDECEA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Aucun bouton 'Supprimer' n'existe pour les transactions enregistrées.</w:t>
            </w:r>
          </w:p>
        </w:tc>
      </w:tr>
      <w:tr>
        <w:trPr/>
        <w:tc>
          <w:tcPr>
            <w:tcW w:w="9200" w:type="dxa"/>
            <w:tcBorders>
              <w:top w:val="single" w:sz="2" w:space="0" w:color="B03A2E"/>
              <w:left w:val="single" w:sz="2" w:space="0" w:color="B03A2E"/>
              <w:bottom w:val="single" w:sz="2" w:space="0" w:color="B03A2E"/>
              <w:right w:val="single" w:sz="2" w:space="0" w:color="B03A2E"/>
            </w:tcBorders>
            <w:shd w:fill="FDECEA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En cas d'erreur : l'utilisateur crée une 'Écriture d'Annulation' (reversal).</w:t>
            </w:r>
          </w:p>
        </w:tc>
      </w:tr>
      <w:tr>
        <w:trPr/>
        <w:tc>
          <w:tcPr>
            <w:tcW w:w="9200" w:type="dxa"/>
            <w:tcBorders>
              <w:top w:val="single" w:sz="2" w:space="0" w:color="B03A2E"/>
              <w:left w:val="single" w:sz="2" w:space="0" w:color="B03A2E"/>
              <w:bottom w:val="single" w:sz="2" w:space="0" w:color="B03A2E"/>
              <w:right w:val="single" w:sz="2" w:space="0" w:color="B03A2E"/>
            </w:tcBorders>
            <w:shd w:fill="FDECEA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Le système conserve la transaction originale ET l'annulation dans l'historique complet.</w:t>
            </w:r>
          </w:p>
        </w:tc>
      </w:tr>
      <w:tr>
        <w:trPr/>
        <w:tc>
          <w:tcPr>
            <w:tcW w:w="9200" w:type="dxa"/>
            <w:tcBorders>
              <w:top w:val="single" w:sz="2" w:space="0" w:color="B03A2E"/>
              <w:left w:val="single" w:sz="2" w:space="0" w:color="B03A2E"/>
              <w:bottom w:val="single" w:sz="2" w:space="0" w:color="B03A2E"/>
              <w:right w:val="single" w:sz="2" w:space="0" w:color="B03A2E"/>
            </w:tcBorders>
            <w:shd w:fill="FDECEA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Un taux d'annulation élevé avant une demande de prêt est détecté comme indicateur de fraude.</w:t>
            </w:r>
          </w:p>
        </w:tc>
      </w:tr>
    </w:tbl>
    <w:p>
      <w:pPr>
        <w:pStyle w:val="Titre3"/>
        <w:bidi w:val="0"/>
        <w:spacing w:before="220" w:after="100"/>
        <w:jc w:val="left"/>
        <w:rPr>
          <w:rFonts w:ascii="Calibri" w:hAnsi="Calibri" w:eastAsia="Calibri" w:cs="Calibri"/>
          <w:b/>
          <w:b/>
          <w:bCs/>
          <w:color w:val="0D3B6E"/>
          <w:sz w:val="23"/>
          <w:szCs w:val="23"/>
        </w:rPr>
      </w:pPr>
      <w:r>
        <w:rPr>
          <w:rFonts w:eastAsia="Calibri" w:cs="Calibri" w:ascii="Calibri" w:hAnsi="Calibri"/>
          <w:b/>
          <w:bCs/>
          <w:color w:val="0D3B6E"/>
          <w:sz w:val="23"/>
          <w:szCs w:val="23"/>
        </w:rPr>
        <w:t>3.1.3  Historique &amp; Recherche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Historique complet des transactions avec filtres : date, type, produit, montant.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Moteur de recherche en texte libre sur les libellés.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Export CSV des transactions sur une période (usage comptable).</w:t>
      </w:r>
    </w:p>
    <w:p>
      <w:pPr>
        <w:pStyle w:val="Normal"/>
        <w:bidi w:val="0"/>
        <w:spacing w:before="80" w:after="0"/>
        <w:jc w:val="left"/>
        <w:rPr/>
      </w:pPr>
      <w:r>
        <w:rPr/>
      </w:r>
    </w:p>
    <w:p>
      <w:pPr>
        <w:pStyle w:val="Titre2"/>
        <w:bidi w:val="0"/>
        <w:spacing w:before="320" w:after="140"/>
        <w:jc w:val="left"/>
        <w:rPr>
          <w:rFonts w:ascii="Calibri" w:hAnsi="Calibri" w:eastAsia="Calibri" w:cs="Calibri"/>
          <w:b/>
          <w:b/>
          <w:bCs/>
          <w:color w:val="1A6FB5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1A6FB5"/>
          <w:sz w:val="26"/>
          <w:szCs w:val="26"/>
        </w:rPr>
        <w:t>3.2  Module B — Gestion de Stock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Catalogue produits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création avec nom, unité (kg, pièce, litre…), prix de revient, prix de vente, seuil d'alerte.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Mise à jour automatique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chaque vente enregistrée décrémente le stock. Chaque approvisionnement l'incrémente.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Alerte rupture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notification push + bannière in-app dès que le stock passe sous le seuil configuré.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Inventaire manuel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le commerçant peut corriger le stock via une écriture d'ajustement traçée (stock_adjustment).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Valorisation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calcul automatique de la valeur du stock au prix de revient.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2" w:space="0" w:color="1A6FB5"/>
              <w:left w:val="single" w:sz="2" w:space="0" w:color="1A6FB5"/>
              <w:bottom w:val="single" w:sz="2" w:space="0" w:color="1A6FB5"/>
              <w:right w:val="single" w:sz="2" w:space="0" w:color="1A6FB5"/>
            </w:tcBorders>
            <w:shd w:fill="1A6FB5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21"/>
                <w:szCs w:val="21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💡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Note de conception</w:t>
            </w:r>
          </w:p>
        </w:tc>
      </w:tr>
      <w:tr>
        <w:trPr/>
        <w:tc>
          <w:tcPr>
            <w:tcW w:w="9200" w:type="dxa"/>
            <w:tcBorders>
              <w:top w:val="single" w:sz="2" w:space="0" w:color="1A6FB5"/>
              <w:left w:val="single" w:sz="2" w:space="0" w:color="1A6FB5"/>
              <w:bottom w:val="single" w:sz="2" w:space="0" w:color="1A6FB5"/>
              <w:right w:val="single" w:sz="2" w:space="0" w:color="1A6FB5"/>
            </w:tcBorders>
            <w:shd w:fill="E8F1FA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Le stock n'est pas stocké comme un chiffre fixe en base de données.</w:t>
            </w:r>
          </w:p>
        </w:tc>
      </w:tr>
      <w:tr>
        <w:trPr/>
        <w:tc>
          <w:tcPr>
            <w:tcW w:w="9200" w:type="dxa"/>
            <w:tcBorders>
              <w:top w:val="single" w:sz="2" w:space="0" w:color="1A6FB5"/>
              <w:left w:val="single" w:sz="2" w:space="0" w:color="1A6FB5"/>
              <w:bottom w:val="single" w:sz="2" w:space="0" w:color="1A6FB5"/>
              <w:right w:val="single" w:sz="2" w:space="0" w:color="1A6FB5"/>
            </w:tcBorders>
            <w:shd w:fill="E8F1FA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Il est calculé en temps réel par agrégation des transactions (ventes - achats + ajustements).</w:t>
            </w:r>
          </w:p>
        </w:tc>
      </w:tr>
      <w:tr>
        <w:trPr/>
        <w:tc>
          <w:tcPr>
            <w:tcW w:w="9200" w:type="dxa"/>
            <w:tcBorders>
              <w:top w:val="single" w:sz="2" w:space="0" w:color="1A6FB5"/>
              <w:left w:val="single" w:sz="2" w:space="0" w:color="1A6FB5"/>
              <w:bottom w:val="single" w:sz="2" w:space="0" w:color="1A6FB5"/>
              <w:right w:val="single" w:sz="2" w:space="0" w:color="1A6FB5"/>
            </w:tcBorders>
            <w:shd w:fill="E8F1FA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Cette approche garantit la cohérence avec le principe d'immuabilité et évite les conflits de sync offline.</w:t>
            </w:r>
          </w:p>
        </w:tc>
      </w:tr>
    </w:tbl>
    <w:p>
      <w:pPr>
        <w:pStyle w:val="Normal"/>
        <w:bidi w:val="0"/>
        <w:spacing w:before="80" w:after="0"/>
        <w:jc w:val="left"/>
        <w:rPr/>
      </w:pPr>
      <w:r>
        <w:rPr/>
      </w:r>
    </w:p>
    <w:p>
      <w:pPr>
        <w:pStyle w:val="Titre2"/>
        <w:bidi w:val="0"/>
        <w:spacing w:before="320" w:after="140"/>
        <w:jc w:val="left"/>
        <w:rPr>
          <w:rFonts w:ascii="Calibri" w:hAnsi="Calibri" w:eastAsia="Calibri" w:cs="Calibri"/>
          <w:b/>
          <w:b/>
          <w:bCs/>
          <w:color w:val="1A6FB5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1A6FB5"/>
          <w:sz w:val="26"/>
          <w:szCs w:val="26"/>
        </w:rPr>
        <w:t>3.3  Module C — Fiscal &amp; Comptable</w:t>
      </w:r>
    </w:p>
    <w:p>
      <w:pPr>
        <w:pStyle w:val="Titre3"/>
        <w:bidi w:val="0"/>
        <w:spacing w:before="220" w:after="100"/>
        <w:jc w:val="left"/>
        <w:rPr>
          <w:rFonts w:ascii="Calibri" w:hAnsi="Calibri" w:eastAsia="Calibri" w:cs="Calibri"/>
          <w:b/>
          <w:b/>
          <w:bCs/>
          <w:color w:val="0D3B6E"/>
          <w:sz w:val="23"/>
          <w:szCs w:val="23"/>
        </w:rPr>
      </w:pPr>
      <w:r>
        <w:rPr>
          <w:rFonts w:eastAsia="Calibri" w:cs="Calibri" w:ascii="Calibri" w:hAnsi="Calibri"/>
          <w:b/>
          <w:bCs/>
          <w:color w:val="0D3B6E"/>
          <w:sz w:val="23"/>
          <w:szCs w:val="23"/>
        </w:rPr>
        <w:t>3.3.1  Moteur de calcul fiscal</w:t>
      </w:r>
    </w:p>
    <w:p>
      <w:pPr>
        <w:pStyle w:val="Normal"/>
        <w:bidi w:val="0"/>
        <w:spacing w:before="80" w:after="80"/>
        <w:jc w:val="both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olor w:val="1C2833"/>
          <w:sz w:val="22"/>
          <w:szCs w:val="22"/>
        </w:rPr>
      </w:pPr>
      <w:r>
        <w:rPr>
          <w:rFonts w:eastAsia="Calibri" w:cs="Calibri"/>
          <w:b w:val="false"/>
          <w:bCs w:val="false"/>
          <w:i w:val="false"/>
          <w:iCs w:val="false"/>
          <w:color w:val="1C2833"/>
          <w:sz w:val="22"/>
          <w:szCs w:val="22"/>
        </w:rPr>
        <w:t>Le calcul fiscal est piloté par une table de règles en base de données (tax_rules), mise à jour chaque année sans redéploiement de code.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Détection automatique du régime applicable selon le chiffre d'affaires annuel.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Prise en charge de la Taxe Synthétique, du Régime du Réel Simplifié et des taux progressifs.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Notification à l'approche du seuil de changement de régime.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Mise à jour annuelle effectuée par l'administrateur via interface dédiée (sans déploiement).</w:t>
      </w:r>
    </w:p>
    <w:p>
      <w:pPr>
        <w:pStyle w:val="Titre3"/>
        <w:bidi w:val="0"/>
        <w:spacing w:before="220" w:after="100"/>
        <w:jc w:val="left"/>
        <w:rPr>
          <w:rFonts w:ascii="Calibri" w:hAnsi="Calibri" w:eastAsia="Calibri" w:cs="Calibri"/>
          <w:b/>
          <w:b/>
          <w:bCs/>
          <w:color w:val="0D3B6E"/>
          <w:sz w:val="23"/>
          <w:szCs w:val="23"/>
        </w:rPr>
      </w:pPr>
      <w:r>
        <w:rPr>
          <w:rFonts w:eastAsia="Calibri" w:cs="Calibri" w:ascii="Calibri" w:hAnsi="Calibri"/>
          <w:b/>
          <w:bCs/>
          <w:color w:val="0D3B6E"/>
          <w:sz w:val="23"/>
          <w:szCs w:val="23"/>
        </w:rPr>
        <w:t>3.3.2  Rapports générés automatiquement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400"/>
        <w:gridCol w:w="3600"/>
        <w:gridCol w:w="3200"/>
      </w:tblGrid>
      <w:tr>
        <w:trPr>
          <w:tblHeader w:val="true"/>
        </w:trPr>
        <w:tc>
          <w:tcPr>
            <w:tcW w:w="2400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Rapport</w:t>
            </w:r>
          </w:p>
        </w:tc>
        <w:tc>
          <w:tcPr>
            <w:tcW w:w="3600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Contenu</w:t>
            </w:r>
          </w:p>
        </w:tc>
        <w:tc>
          <w:tcPr>
            <w:tcW w:w="3200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Fréquence</w:t>
            </w:r>
          </w:p>
        </w:tc>
      </w:tr>
      <w:tr>
        <w:trPr/>
        <w:tc>
          <w:tcPr>
            <w:tcW w:w="2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Journal de caisse</w:t>
            </w:r>
          </w:p>
        </w:tc>
        <w:tc>
          <w:tcPr>
            <w:tcW w:w="3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Toutes les entrées/sorties chronologiques</w:t>
            </w:r>
          </w:p>
        </w:tc>
        <w:tc>
          <w:tcPr>
            <w:tcW w:w="32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Quotidien / à la demande</w:t>
            </w:r>
          </w:p>
        </w:tc>
      </w:tr>
      <w:tr>
        <w:trPr/>
        <w:tc>
          <w:tcPr>
            <w:tcW w:w="2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Compte de résultat simplifié</w:t>
            </w:r>
          </w:p>
        </w:tc>
        <w:tc>
          <w:tcPr>
            <w:tcW w:w="3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Recettes — Dépenses = Résultat net</w:t>
            </w:r>
          </w:p>
        </w:tc>
        <w:tc>
          <w:tcPr>
            <w:tcW w:w="32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Mensuel / à la demande</w:t>
            </w:r>
          </w:p>
        </w:tc>
      </w:tr>
      <w:tr>
        <w:trPr/>
        <w:tc>
          <w:tcPr>
            <w:tcW w:w="2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Bilan annuel certifié</w:t>
            </w:r>
          </w:p>
        </w:tc>
        <w:tc>
          <w:tcPr>
            <w:tcW w:w="3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Actif, Passif, Capitaux propres, Impôt dû</w:t>
            </w:r>
          </w:p>
        </w:tc>
        <w:tc>
          <w:tcPr>
            <w:tcW w:w="32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Annuel</w:t>
            </w:r>
          </w:p>
        </w:tc>
      </w:tr>
      <w:tr>
        <w:trPr/>
        <w:tc>
          <w:tcPr>
            <w:tcW w:w="2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Déclaration fiscale pré-remplie</w:t>
            </w:r>
          </w:p>
        </w:tc>
        <w:tc>
          <w:tcPr>
            <w:tcW w:w="3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Montants à déclarer selon régime</w:t>
            </w:r>
          </w:p>
        </w:tc>
        <w:tc>
          <w:tcPr>
            <w:tcW w:w="32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Annuel</w:t>
            </w:r>
          </w:p>
        </w:tc>
      </w:tr>
    </w:tbl>
    <w:p>
      <w:pPr>
        <w:pStyle w:val="Titre3"/>
        <w:bidi w:val="0"/>
        <w:spacing w:before="220" w:after="100"/>
        <w:jc w:val="left"/>
        <w:rPr>
          <w:rFonts w:ascii="Calibri" w:hAnsi="Calibri" w:eastAsia="Calibri" w:cs="Calibri"/>
          <w:b/>
          <w:b/>
          <w:bCs/>
          <w:color w:val="0D3B6E"/>
          <w:sz w:val="23"/>
          <w:szCs w:val="23"/>
        </w:rPr>
      </w:pPr>
      <w:r>
        <w:rPr>
          <w:rFonts w:eastAsia="Calibri" w:cs="Calibri" w:ascii="Calibri" w:hAnsi="Calibri"/>
          <w:b/>
          <w:bCs/>
          <w:color w:val="0D3B6E"/>
          <w:sz w:val="23"/>
          <w:szCs w:val="23"/>
        </w:rPr>
        <w:t>3.3.3  QR Code de Certification Anti-Falsification</w:t>
      </w:r>
    </w:p>
    <w:p>
      <w:pPr>
        <w:pStyle w:val="Normal"/>
        <w:bidi w:val="0"/>
        <w:spacing w:before="80" w:after="80"/>
        <w:jc w:val="both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olor w:val="1C2833"/>
          <w:sz w:val="22"/>
          <w:szCs w:val="22"/>
        </w:rPr>
      </w:pPr>
      <w:r>
        <w:rPr>
          <w:rFonts w:eastAsia="Calibri" w:cs="Calibri"/>
          <w:b w:val="false"/>
          <w:bCs w:val="false"/>
          <w:i w:val="false"/>
          <w:iCs w:val="false"/>
          <w:color w:val="1C2833"/>
          <w:sz w:val="22"/>
          <w:szCs w:val="22"/>
        </w:rPr>
        <w:t>Chaque bilan généré embarque un QR code dynamique signé par le serveur.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Mécanisme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Le QR encode l'URL https://taxbridge.app/verify/{token} où {token} est un HMAC-SHA256 unique signé côté serveur.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Page de vérification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publique, en lecture seule, sans connexion requise. Affiche la date de génération, le hash SHA-256 du document et la mention de certification.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Disponibilité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mise en cache CDN 90 jours. Archive froide après 5 ans (délai légal de conservation).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Falsification impossible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toute modification du PDF casse le hash. La page de vérification affiche alors une alerte rouge.</w:t>
      </w:r>
    </w:p>
    <w:p>
      <w:pPr>
        <w:pStyle w:val="Normal"/>
        <w:bidi w:val="0"/>
        <w:spacing w:before="80" w:after="0"/>
        <w:jc w:val="left"/>
        <w:rPr/>
      </w:pPr>
      <w:r>
        <w:rPr/>
      </w:r>
    </w:p>
    <w:p>
      <w:pPr>
        <w:pStyle w:val="Titre2"/>
        <w:bidi w:val="0"/>
        <w:spacing w:before="320" w:after="140"/>
        <w:jc w:val="left"/>
        <w:rPr>
          <w:rFonts w:ascii="Calibri" w:hAnsi="Calibri" w:eastAsia="Calibri" w:cs="Calibri"/>
          <w:b/>
          <w:b/>
          <w:bCs/>
          <w:color w:val="1A6FB5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1A6FB5"/>
          <w:sz w:val="26"/>
          <w:szCs w:val="26"/>
        </w:rPr>
        <w:t>3.4  Module D — Prêt Bancaire &amp; Score de Crédit</w:t>
      </w:r>
    </w:p>
    <w:p>
      <w:pPr>
        <w:pStyle w:val="Titre3"/>
        <w:bidi w:val="0"/>
        <w:spacing w:before="220" w:after="100"/>
        <w:jc w:val="left"/>
        <w:rPr>
          <w:rFonts w:ascii="Calibri" w:hAnsi="Calibri" w:eastAsia="Calibri" w:cs="Calibri"/>
          <w:b/>
          <w:b/>
          <w:bCs/>
          <w:color w:val="0D3B6E"/>
          <w:sz w:val="23"/>
          <w:szCs w:val="23"/>
        </w:rPr>
      </w:pPr>
      <w:r>
        <w:rPr>
          <w:rFonts w:eastAsia="Calibri" w:cs="Calibri" w:ascii="Calibri" w:hAnsi="Calibri"/>
          <w:b/>
          <w:bCs/>
          <w:color w:val="0D3B6E"/>
          <w:sz w:val="23"/>
          <w:szCs w:val="23"/>
        </w:rPr>
        <w:t>3.4.1  Score de Crédibilité — Grille explicable</w:t>
      </w:r>
    </w:p>
    <w:p>
      <w:pPr>
        <w:pStyle w:val="Normal"/>
        <w:bidi w:val="0"/>
        <w:spacing w:before="80" w:after="80"/>
        <w:jc w:val="both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olor w:val="1C2833"/>
          <w:sz w:val="22"/>
          <w:szCs w:val="22"/>
        </w:rPr>
      </w:pPr>
      <w:r>
        <w:rPr>
          <w:rFonts w:eastAsia="Calibri" w:cs="Calibri"/>
          <w:b w:val="false"/>
          <w:bCs w:val="false"/>
          <w:i w:val="false"/>
          <w:iCs w:val="false"/>
          <w:color w:val="1C2833"/>
          <w:sz w:val="22"/>
          <w:szCs w:val="22"/>
        </w:rPr>
        <w:t>L'algorithme de scoring est transparent et communiqué au commerçant. Il est calculé quotidiennement et visible dans l'application.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000"/>
        <w:gridCol w:w="1799"/>
        <w:gridCol w:w="4401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Critère</w:t>
            </w:r>
          </w:p>
        </w:tc>
        <w:tc>
          <w:tcPr>
            <w:tcW w:w="1799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Poids</w:t>
            </w:r>
          </w:p>
        </w:tc>
        <w:tc>
          <w:tcPr>
            <w:tcW w:w="4401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3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Chiffre d'affaires moyen 3 mois</w:t>
            </w:r>
          </w:p>
        </w:tc>
        <w:tc>
          <w:tcPr>
            <w:tcW w:w="1799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1A6FB5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1A6FB5"/>
                <w:sz w:val="20"/>
                <w:szCs w:val="20"/>
              </w:rPr>
              <w:t>30 %</w:t>
            </w:r>
          </w:p>
        </w:tc>
        <w:tc>
          <w:tcPr>
            <w:tcW w:w="4401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Revenu moyen mensuel sur le trimestre</w:t>
            </w:r>
          </w:p>
        </w:tc>
      </w:tr>
      <w:tr>
        <w:trPr/>
        <w:tc>
          <w:tcPr>
            <w:tcW w:w="3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Régularité des saisies</w:t>
            </w:r>
          </w:p>
        </w:tc>
        <w:tc>
          <w:tcPr>
            <w:tcW w:w="1799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1A6FB5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1A6FB5"/>
                <w:sz w:val="20"/>
                <w:szCs w:val="20"/>
              </w:rPr>
              <w:t>25 %</w:t>
            </w:r>
          </w:p>
        </w:tc>
        <w:tc>
          <w:tcPr>
            <w:tcW w:w="4401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Fréquence et continuité des enregistrements</w:t>
            </w:r>
          </w:p>
        </w:tc>
      </w:tr>
      <w:tr>
        <w:trPr/>
        <w:tc>
          <w:tcPr>
            <w:tcW w:w="3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Taux d'annulation</w:t>
            </w:r>
          </w:p>
        </w:tc>
        <w:tc>
          <w:tcPr>
            <w:tcW w:w="1799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1A6FB5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1A6FB5"/>
                <w:sz w:val="20"/>
                <w:szCs w:val="20"/>
              </w:rPr>
              <w:t>20 %</w:t>
            </w:r>
          </w:p>
        </w:tc>
        <w:tc>
          <w:tcPr>
            <w:tcW w:w="4401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Ratio annulations / total (fort = risque fraude)</w:t>
            </w:r>
          </w:p>
        </w:tc>
      </w:tr>
      <w:tr>
        <w:trPr/>
        <w:tc>
          <w:tcPr>
            <w:tcW w:w="3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Ancienneté sur la plateforme</w:t>
            </w:r>
          </w:p>
        </w:tc>
        <w:tc>
          <w:tcPr>
            <w:tcW w:w="1799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1A6FB5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1A6FB5"/>
                <w:sz w:val="20"/>
                <w:szCs w:val="20"/>
              </w:rPr>
              <w:t>15 %</w:t>
            </w:r>
          </w:p>
        </w:tc>
        <w:tc>
          <w:tcPr>
            <w:tcW w:w="4401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Durée d'utilisation active</w:t>
            </w:r>
          </w:p>
        </w:tc>
      </w:tr>
      <w:tr>
        <w:trPr/>
        <w:tc>
          <w:tcPr>
            <w:tcW w:w="3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Diversité des produits</w:t>
            </w:r>
          </w:p>
        </w:tc>
        <w:tc>
          <w:tcPr>
            <w:tcW w:w="1799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1A6FB5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1A6FB5"/>
                <w:sz w:val="20"/>
                <w:szCs w:val="20"/>
              </w:rPr>
              <w:t>10 %</w:t>
            </w:r>
          </w:p>
        </w:tc>
        <w:tc>
          <w:tcPr>
            <w:tcW w:w="4401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Variété du portefeuille (stabilité)</w:t>
            </w:r>
          </w:p>
        </w:tc>
      </w:tr>
    </w:tbl>
    <w:p>
      <w:pPr>
        <w:pStyle w:val="Normal"/>
        <w:bidi w:val="0"/>
        <w:spacing w:before="80" w:after="0"/>
        <w:jc w:val="left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2" w:space="0" w:color="1E7A43"/>
              <w:left w:val="single" w:sz="2" w:space="0" w:color="1E7A43"/>
              <w:bottom w:val="single" w:sz="2" w:space="0" w:color="1E7A43"/>
              <w:right w:val="single" w:sz="2" w:space="0" w:color="1E7A43"/>
            </w:tcBorders>
            <w:shd w:fill="1E7A43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21"/>
                <w:szCs w:val="21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✅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Engagement de transparence algorithmique</w:t>
            </w:r>
          </w:p>
        </w:tc>
      </w:tr>
      <w:tr>
        <w:trPr/>
        <w:tc>
          <w:tcPr>
            <w:tcW w:w="9200" w:type="dxa"/>
            <w:tcBorders>
              <w:top w:val="single" w:sz="2" w:space="0" w:color="1E7A43"/>
              <w:left w:val="single" w:sz="2" w:space="0" w:color="1E7A43"/>
              <w:bottom w:val="single" w:sz="2" w:space="0" w:color="1E7A43"/>
              <w:right w:val="single" w:sz="2" w:space="0" w:color="1E7A43"/>
            </w:tcBorders>
            <w:shd w:fill="D5F0E3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Le score (0 à 1000) est affiché au commerçant avec le détail de chaque composante.</w:t>
            </w:r>
          </w:p>
        </w:tc>
      </w:tr>
      <w:tr>
        <w:trPr/>
        <w:tc>
          <w:tcPr>
            <w:tcW w:w="9200" w:type="dxa"/>
            <w:tcBorders>
              <w:top w:val="single" w:sz="2" w:space="0" w:color="1E7A43"/>
              <w:left w:val="single" w:sz="2" w:space="0" w:color="1E7A43"/>
              <w:bottom w:val="single" w:sz="2" w:space="0" w:color="1E7A43"/>
              <w:right w:val="single" w:sz="2" w:space="0" w:color="1E7A43"/>
            </w:tcBorders>
            <w:shd w:fill="D5F0E3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Une explication textuelle indique les axes d'amélioration ('Augmentez la régularité de vos saisies').</w:t>
            </w:r>
          </w:p>
        </w:tc>
      </w:tr>
      <w:tr>
        <w:trPr/>
        <w:tc>
          <w:tcPr>
            <w:tcW w:w="9200" w:type="dxa"/>
            <w:tcBorders>
              <w:top w:val="single" w:sz="2" w:space="0" w:color="1E7A43"/>
              <w:left w:val="single" w:sz="2" w:space="0" w:color="1E7A43"/>
              <w:bottom w:val="single" w:sz="2" w:space="0" w:color="1E7A43"/>
              <w:right w:val="single" w:sz="2" w:space="0" w:color="1E7A43"/>
            </w:tcBorders>
            <w:shd w:fill="D5F0E3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Le commerçant peut contester un score via un formulaire de réclamation sous 15 jours.</w:t>
            </w:r>
          </w:p>
        </w:tc>
      </w:tr>
      <w:tr>
        <w:trPr/>
        <w:tc>
          <w:tcPr>
            <w:tcW w:w="9200" w:type="dxa"/>
            <w:tcBorders>
              <w:top w:val="single" w:sz="2" w:space="0" w:color="1E7A43"/>
              <w:left w:val="single" w:sz="2" w:space="0" w:color="1E7A43"/>
              <w:bottom w:val="single" w:sz="2" w:space="0" w:color="1E7A43"/>
              <w:right w:val="single" w:sz="2" w:space="0" w:color="1E7A43"/>
            </w:tcBorders>
            <w:shd w:fill="D5F0E3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Aucune donnée démographique (genre, ethnie, localisation fine) n'entre dans le calcul.</w:t>
            </w:r>
          </w:p>
        </w:tc>
      </w:tr>
    </w:tbl>
    <w:p>
      <w:pPr>
        <w:pStyle w:val="Normal"/>
        <w:bidi w:val="0"/>
        <w:spacing w:before="120" w:after="0"/>
        <w:jc w:val="left"/>
        <w:rPr/>
      </w:pPr>
      <w:r>
        <w:rPr/>
      </w:r>
    </w:p>
    <w:p>
      <w:pPr>
        <w:pStyle w:val="Titre3"/>
        <w:bidi w:val="0"/>
        <w:spacing w:before="220" w:after="100"/>
        <w:jc w:val="left"/>
        <w:rPr>
          <w:rFonts w:ascii="Calibri" w:hAnsi="Calibri" w:eastAsia="Calibri" w:cs="Calibri"/>
          <w:b/>
          <w:b/>
          <w:bCs/>
          <w:color w:val="0D3B6E"/>
          <w:sz w:val="23"/>
          <w:szCs w:val="23"/>
        </w:rPr>
      </w:pPr>
      <w:r>
        <w:rPr>
          <w:rFonts w:eastAsia="Calibri" w:cs="Calibri" w:ascii="Calibri" w:hAnsi="Calibri"/>
          <w:b/>
          <w:bCs/>
          <w:color w:val="0D3B6E"/>
          <w:sz w:val="23"/>
          <w:szCs w:val="23"/>
        </w:rPr>
        <w:t>3.4.2  Consentement Bancaire Granulaire</w:t>
      </w:r>
    </w:p>
    <w:p>
      <w:pPr>
        <w:pStyle w:val="Normal"/>
        <w:bidi w:val="0"/>
        <w:spacing w:before="80" w:after="80"/>
        <w:jc w:val="both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olor w:val="1C2833"/>
          <w:sz w:val="22"/>
          <w:szCs w:val="22"/>
        </w:rPr>
      </w:pPr>
      <w:r>
        <w:rPr>
          <w:rFonts w:eastAsia="Calibri" w:cs="Calibri"/>
          <w:b w:val="false"/>
          <w:bCs w:val="false"/>
          <w:i w:val="false"/>
          <w:iCs w:val="false"/>
          <w:color w:val="1C2833"/>
          <w:sz w:val="22"/>
          <w:szCs w:val="22"/>
        </w:rPr>
        <w:t>L'accès d'une banque aux données d'un commerçant est strictement encadré par un mécanisme de consentement explicite.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Activation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le commerçant sélectionne la banque partenaire et le périmètre accordé ('score uniquement', 'historique 3 mois', 'historique complet').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Durée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le consentement expire automatiquement après 90 jours sans renouvellement.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Révocation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révocable en un tap à tout moment depuis le profil. La révocation est immédiate et tracée.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Traçabilité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chaque consultation bancaire est enregistrée dans le journal d'audit avec le scope utilisé, la date et l'identifiant de l'agent.</w:t>
      </w:r>
    </w:p>
    <w:p>
      <w:pPr>
        <w:pStyle w:val="Titre3"/>
        <w:bidi w:val="0"/>
        <w:spacing w:before="220" w:after="100"/>
        <w:jc w:val="left"/>
        <w:rPr>
          <w:rFonts w:ascii="Calibri" w:hAnsi="Calibri" w:eastAsia="Calibri" w:cs="Calibri"/>
          <w:b/>
          <w:b/>
          <w:bCs/>
          <w:color w:val="0D3B6E"/>
          <w:sz w:val="23"/>
          <w:szCs w:val="23"/>
        </w:rPr>
      </w:pPr>
      <w:r>
        <w:rPr>
          <w:rFonts w:eastAsia="Calibri" w:cs="Calibri" w:ascii="Calibri" w:hAnsi="Calibri"/>
          <w:b/>
          <w:bCs/>
          <w:color w:val="0D3B6E"/>
          <w:sz w:val="23"/>
          <w:szCs w:val="23"/>
        </w:rPr>
        <w:t>3.4.3  Demande de Prêt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Bouton 'Demander un financement' dans l'espace bancaire — accessible uniquement si consentement accordé.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Le dossier de crédit pré-rempli inclut : score, historique certifié (PDF avec QR), identité KYC.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Suivi du statut de la demande en temps réel dans l'application.</w:t>
      </w:r>
    </w:p>
    <w:p>
      <w:pPr>
        <w:pStyle w:val="Normal"/>
        <w:bidi w:val="0"/>
        <w:spacing w:before="80" w:after="0"/>
        <w:jc w:val="left"/>
        <w:rPr/>
      </w:pPr>
      <w:r>
        <w:rPr/>
      </w:r>
    </w:p>
    <w:p>
      <w:pPr>
        <w:pStyle w:val="Titre2"/>
        <w:bidi w:val="0"/>
        <w:spacing w:before="320" w:after="140"/>
        <w:jc w:val="left"/>
        <w:rPr>
          <w:rFonts w:ascii="Calibri" w:hAnsi="Calibri" w:eastAsia="Calibri" w:cs="Calibri"/>
          <w:b/>
          <w:b/>
          <w:bCs/>
          <w:color w:val="1A6FB5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1A6FB5"/>
          <w:sz w:val="26"/>
          <w:szCs w:val="26"/>
        </w:rPr>
        <w:t>3.5  Module E — Administration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Tableau de bord : nombre d'utilisateurs actifs, volume de transactions, revenus de la plateforme.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Gestion des règles fiscales : ajout/modification des barèmes par pays et année sans redéploiement.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Gestion des banques partenaires : ajout, suspension, paramétrage des accès.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Monitoring des alertes de sécurité : tentatives de connexion échouées, taux d'annulation suspects.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Outils de support : consultation des logs d'audit, réinitialisation de PIN avec vérification KYC.</w:t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Titre1"/>
        <w:pBdr>
          <w:bottom w:val="single" w:sz="8" w:space="4" w:color="D4AF37"/>
        </w:pBdr>
        <w:bidi w:val="0"/>
        <w:spacing w:before="500" w:after="200"/>
        <w:jc w:val="left"/>
        <w:rPr>
          <w:rFonts w:ascii="Calibri" w:hAnsi="Calibri" w:eastAsia="Calibri" w:cs="Calibri"/>
          <w:b/>
          <w:b/>
          <w:bCs/>
          <w:color w:val="0D3B6E"/>
          <w:sz w:val="34"/>
          <w:szCs w:val="34"/>
        </w:rPr>
      </w:pPr>
      <w:r>
        <w:rPr>
          <w:rFonts w:eastAsia="Calibri" w:cs="Calibri" w:ascii="Calibri" w:hAnsi="Calibri"/>
          <w:b/>
          <w:bCs/>
          <w:color w:val="0D3B6E"/>
          <w:sz w:val="34"/>
          <w:szCs w:val="34"/>
        </w:rPr>
        <w:t>4. Mode Offline &amp; Synchronisation</w:t>
      </w:r>
    </w:p>
    <w:p>
      <w:pPr>
        <w:pStyle w:val="Normal"/>
        <w:bidi w:val="0"/>
        <w:spacing w:before="80" w:after="80"/>
        <w:jc w:val="both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olor w:val="1C2833"/>
          <w:sz w:val="22"/>
          <w:szCs w:val="22"/>
        </w:rPr>
      </w:pPr>
      <w:r>
        <w:rPr>
          <w:rFonts w:eastAsia="Calibri" w:cs="Calibri"/>
          <w:b w:val="false"/>
          <w:bCs w:val="false"/>
          <w:i w:val="false"/>
          <w:iCs w:val="false"/>
          <w:color w:val="1C2833"/>
          <w:sz w:val="22"/>
          <w:szCs w:val="22"/>
        </w:rPr>
        <w:t>Le mode offline est une exigence fondamentale de l'application. La couverture réseau étant aléatoire dans les marchés cibles, l'application doit fonctionner pleinement sans connexion internet.</w:t>
      </w:r>
    </w:p>
    <w:p>
      <w:pPr>
        <w:pStyle w:val="Titre2"/>
        <w:bidi w:val="0"/>
        <w:spacing w:before="320" w:after="140"/>
        <w:jc w:val="left"/>
        <w:rPr>
          <w:rFonts w:ascii="Calibri" w:hAnsi="Calibri" w:eastAsia="Calibri" w:cs="Calibri"/>
          <w:b/>
          <w:b/>
          <w:bCs/>
          <w:color w:val="1A6FB5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1A6FB5"/>
          <w:sz w:val="26"/>
          <w:szCs w:val="26"/>
        </w:rPr>
        <w:t>4.1  Fonctionnement Offline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La base de données locale (SQLite via Drift) stocke toutes les transactions en attente de synchronisation.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L'application est pleinement fonctionnelle offline : saisie, consultation, calculs, génération de rapports locaux.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Un indicateur visuel permanent signale l'état de connexion et le nombre de transactions en attente de sync.</w:t>
      </w:r>
    </w:p>
    <w:p>
      <w:pPr>
        <w:pStyle w:val="Titre2"/>
        <w:bidi w:val="0"/>
        <w:spacing w:before="320" w:after="140"/>
        <w:jc w:val="left"/>
        <w:rPr>
          <w:rFonts w:ascii="Calibri" w:hAnsi="Calibri" w:eastAsia="Calibri" w:cs="Calibri"/>
          <w:b/>
          <w:b/>
          <w:bCs/>
          <w:color w:val="1A6FB5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1A6FB5"/>
          <w:sz w:val="26"/>
          <w:szCs w:val="26"/>
        </w:rPr>
        <w:t>4.2  Stratégie de Synchronisation &amp; Gestion des Conflits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2" w:space="0" w:color="B03A2E"/>
              <w:left w:val="single" w:sz="2" w:space="0" w:color="B03A2E"/>
              <w:bottom w:val="single" w:sz="2" w:space="0" w:color="B03A2E"/>
              <w:right w:val="single" w:sz="2" w:space="0" w:color="B03A2E"/>
            </w:tcBorders>
            <w:shd w:fill="B03A2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21"/>
                <w:szCs w:val="21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⚠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Problématique non traitée dans la v1 — ajout obligatoire</w:t>
            </w:r>
          </w:p>
        </w:tc>
      </w:tr>
      <w:tr>
        <w:trPr/>
        <w:tc>
          <w:tcPr>
            <w:tcW w:w="9200" w:type="dxa"/>
            <w:tcBorders>
              <w:top w:val="single" w:sz="2" w:space="0" w:color="B03A2E"/>
              <w:left w:val="single" w:sz="2" w:space="0" w:color="B03A2E"/>
              <w:bottom w:val="single" w:sz="2" w:space="0" w:color="B03A2E"/>
              <w:right w:val="single" w:sz="2" w:space="0" w:color="B03A2E"/>
            </w:tcBorders>
            <w:shd w:fill="FDECEA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Sans stratégie de conflits, deux ventes enregistrées simultanément (offline + online) peuvent créer des doublons ou des incohérences de stock.</w:t>
            </w:r>
          </w:p>
        </w:tc>
      </w:tr>
    </w:tbl>
    <w:p>
      <w:pPr>
        <w:pStyle w:val="Normal"/>
        <w:bidi w:val="0"/>
        <w:spacing w:before="80" w:after="0"/>
        <w:jc w:val="left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2" w:space="0" w:color="1E7A43"/>
              <w:left w:val="single" w:sz="2" w:space="0" w:color="1E7A43"/>
              <w:bottom w:val="single" w:sz="2" w:space="0" w:color="1E7A43"/>
              <w:right w:val="single" w:sz="2" w:space="0" w:color="1E7A43"/>
            </w:tcBorders>
            <w:shd w:fill="1E7A43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21"/>
                <w:szCs w:val="21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✅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Solution retenue : Idempotence par UUID + Calcul de stock à la volée</w:t>
            </w:r>
          </w:p>
        </w:tc>
      </w:tr>
      <w:tr>
        <w:trPr/>
        <w:tc>
          <w:tcPr>
            <w:tcW w:w="9200" w:type="dxa"/>
            <w:tcBorders>
              <w:top w:val="single" w:sz="2" w:space="0" w:color="1E7A43"/>
              <w:left w:val="single" w:sz="2" w:space="0" w:color="1E7A43"/>
              <w:bottom w:val="single" w:sz="2" w:space="0" w:color="1E7A43"/>
              <w:right w:val="single" w:sz="2" w:space="0" w:color="1E7A43"/>
            </w:tcBorders>
            <w:shd w:fill="D5F0E3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Chaque transaction reçoit un UUID généré sur le device au moment de la saisie.</w:t>
            </w:r>
          </w:p>
        </w:tc>
      </w:tr>
      <w:tr>
        <w:trPr/>
        <w:tc>
          <w:tcPr>
            <w:tcW w:w="9200" w:type="dxa"/>
            <w:tcBorders>
              <w:top w:val="single" w:sz="2" w:space="0" w:color="1E7A43"/>
              <w:left w:val="single" w:sz="2" w:space="0" w:color="1E7A43"/>
              <w:bottom w:val="single" w:sz="2" w:space="0" w:color="1E7A43"/>
              <w:right w:val="single" w:sz="2" w:space="0" w:color="1E7A43"/>
            </w:tcBorders>
            <w:shd w:fill="D5F0E3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Le serveur rejette silencieusement les doublons d'UUID (idempotence POST /api/v1/sync).</w:t>
            </w:r>
          </w:p>
        </w:tc>
      </w:tr>
      <w:tr>
        <w:trPr/>
        <w:tc>
          <w:tcPr>
            <w:tcW w:w="9200" w:type="dxa"/>
            <w:tcBorders>
              <w:top w:val="single" w:sz="2" w:space="0" w:color="1E7A43"/>
              <w:left w:val="single" w:sz="2" w:space="0" w:color="1E7A43"/>
              <w:bottom w:val="single" w:sz="2" w:space="0" w:color="1E7A43"/>
              <w:right w:val="single" w:sz="2" w:space="0" w:color="1E7A43"/>
            </w:tcBorders>
            <w:shd w:fill="D5F0E3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Le stock n'est jamais stocké comme valeur fixe : il est calculé par agrégation des transactions.</w:t>
            </w:r>
          </w:p>
        </w:tc>
      </w:tr>
      <w:tr>
        <w:trPr/>
        <w:tc>
          <w:tcPr>
            <w:tcW w:w="9200" w:type="dxa"/>
            <w:tcBorders>
              <w:top w:val="single" w:sz="2" w:space="0" w:color="1E7A43"/>
              <w:left w:val="single" w:sz="2" w:space="0" w:color="1E7A43"/>
              <w:bottom w:val="single" w:sz="2" w:space="0" w:color="1E7A43"/>
              <w:right w:val="single" w:sz="2" w:space="0" w:color="1E7A43"/>
            </w:tcBorders>
            <w:shd w:fill="D5F0E3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En cas de conflit irréductible : alerte à l'utilisateur, résolution manuelle.</w:t>
            </w:r>
          </w:p>
        </w:tc>
      </w:tr>
      <w:tr>
        <w:trPr/>
        <w:tc>
          <w:tcPr>
            <w:tcW w:w="9200" w:type="dxa"/>
            <w:tcBorders>
              <w:top w:val="single" w:sz="2" w:space="0" w:color="1E7A43"/>
              <w:left w:val="single" w:sz="2" w:space="0" w:color="1E7A43"/>
              <w:bottom w:val="single" w:sz="2" w:space="0" w:color="1E7A43"/>
              <w:right w:val="single" w:sz="2" w:space="0" w:color="1E7A43"/>
            </w:tcBorders>
            <w:shd w:fill="D5F0E3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Une file d'attente Redis ordonne les synchronisations concurrentes.</w:t>
            </w:r>
          </w:p>
        </w:tc>
      </w:tr>
    </w:tbl>
    <w:p>
      <w:pPr>
        <w:pStyle w:val="Titre2"/>
        <w:bidi w:val="0"/>
        <w:spacing w:before="320" w:after="140"/>
        <w:jc w:val="left"/>
        <w:rPr>
          <w:rFonts w:ascii="Calibri" w:hAnsi="Calibri" w:eastAsia="Calibri" w:cs="Calibri"/>
          <w:b/>
          <w:b/>
          <w:bCs/>
          <w:color w:val="1A6FB5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1A6FB5"/>
          <w:sz w:val="26"/>
          <w:szCs w:val="26"/>
        </w:rPr>
        <w:t>4.3  Horodatage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created_offline_at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horodatage device au moment de la saisie (peut être en avance/retard si l'horloge est désynchronisée).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synced_at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horodatage serveur UTC au moment de la synchronisation — c'est la date qui fait foi pour les rapports officiels.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Une alerte est déclenchée si l'écart entre horodatage device et serveur dépasse 48 heures.</w:t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Titre1"/>
        <w:pBdr>
          <w:bottom w:val="single" w:sz="8" w:space="4" w:color="D4AF37"/>
        </w:pBdr>
        <w:bidi w:val="0"/>
        <w:spacing w:before="500" w:after="200"/>
        <w:jc w:val="left"/>
        <w:rPr>
          <w:rFonts w:ascii="Calibri" w:hAnsi="Calibri" w:eastAsia="Calibri" w:cs="Calibri"/>
          <w:b/>
          <w:b/>
          <w:bCs/>
          <w:color w:val="0D3B6E"/>
          <w:sz w:val="34"/>
          <w:szCs w:val="34"/>
        </w:rPr>
      </w:pPr>
      <w:r>
        <w:rPr>
          <w:rFonts w:eastAsia="Calibri" w:cs="Calibri" w:ascii="Calibri" w:hAnsi="Calibri"/>
          <w:b/>
          <w:bCs/>
          <w:color w:val="0D3B6E"/>
          <w:sz w:val="34"/>
          <w:szCs w:val="34"/>
        </w:rPr>
        <w:t>5. Architecture Technique</w:t>
      </w:r>
    </w:p>
    <w:p>
      <w:pPr>
        <w:pStyle w:val="Titre2"/>
        <w:bidi w:val="0"/>
        <w:spacing w:before="320" w:after="140"/>
        <w:jc w:val="left"/>
        <w:rPr>
          <w:rFonts w:ascii="Calibri" w:hAnsi="Calibri" w:eastAsia="Calibri" w:cs="Calibri"/>
          <w:b/>
          <w:b/>
          <w:bCs/>
          <w:color w:val="1A6FB5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1A6FB5"/>
          <w:sz w:val="26"/>
          <w:szCs w:val="26"/>
        </w:rPr>
        <w:t>5.1  Stack Technologique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000"/>
        <w:gridCol w:w="2600"/>
        <w:gridCol w:w="460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Couche</w:t>
            </w:r>
          </w:p>
        </w:tc>
        <w:tc>
          <w:tcPr>
            <w:tcW w:w="2600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Technologie</w:t>
            </w:r>
          </w:p>
        </w:tc>
        <w:tc>
          <w:tcPr>
            <w:tcW w:w="4600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Justification</w:t>
            </w:r>
          </w:p>
        </w:tc>
      </w:tr>
      <w:tr>
        <w:trPr/>
        <w:tc>
          <w:tcPr>
            <w:tcW w:w="2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Application Mobile</w:t>
            </w:r>
          </w:p>
        </w:tc>
        <w:tc>
          <w:tcPr>
            <w:tcW w:w="2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1A6FB5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1A6FB5"/>
                <w:sz w:val="20"/>
                <w:szCs w:val="20"/>
              </w:rPr>
              <w:t>Flutter (Dart)</w:t>
            </w:r>
          </w:p>
        </w:tc>
        <w:tc>
          <w:tcPr>
            <w:tcW w:w="4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1 code → Android &amp; iOS. Support natif offline/SQLite. Performances proches du natif.</w:t>
            </w:r>
          </w:p>
        </w:tc>
      </w:tr>
      <w:tr>
        <w:trPr/>
        <w:tc>
          <w:tcPr>
            <w:tcW w:w="2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Backend API</w:t>
            </w:r>
          </w:p>
        </w:tc>
        <w:tc>
          <w:tcPr>
            <w:tcW w:w="2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1A6FB5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1A6FB5"/>
                <w:sz w:val="20"/>
                <w:szCs w:val="20"/>
              </w:rPr>
              <w:t>Node.js + Fastify</w:t>
            </w:r>
          </w:p>
        </w:tc>
        <w:tc>
          <w:tcPr>
            <w:tcW w:w="4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Performances élevées, JSON natif, écosystème riche pour l'Afrique (Flutterwave, MTN MoMo).</w:t>
            </w:r>
          </w:p>
        </w:tc>
      </w:tr>
      <w:tr>
        <w:trPr/>
        <w:tc>
          <w:tcPr>
            <w:tcW w:w="2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Base de données</w:t>
            </w:r>
          </w:p>
        </w:tc>
        <w:tc>
          <w:tcPr>
            <w:tcW w:w="2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1A6FB5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1A6FB5"/>
                <w:sz w:val="20"/>
                <w:szCs w:val="20"/>
              </w:rPr>
              <w:t>PostgreSQL 16</w:t>
            </w:r>
          </w:p>
        </w:tc>
        <w:tc>
          <w:tcPr>
            <w:tcW w:w="4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JSONB, Row-Level Security, triggers d'audit, partitionnement, chiffrement natif.</w:t>
            </w:r>
          </w:p>
        </w:tc>
      </w:tr>
      <w:tr>
        <w:trPr/>
        <w:tc>
          <w:tcPr>
            <w:tcW w:w="2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Cache &amp; Files</w:t>
            </w:r>
          </w:p>
        </w:tc>
        <w:tc>
          <w:tcPr>
            <w:tcW w:w="2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1A6FB5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1A6FB5"/>
                <w:sz w:val="20"/>
                <w:szCs w:val="20"/>
              </w:rPr>
              <w:t>Redis 7</w:t>
            </w:r>
          </w:p>
        </w:tc>
        <w:tc>
          <w:tcPr>
            <w:tcW w:w="4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Sessions JWT, rate-limiting, file de synchronisation offline, pub/sub alertes.</w:t>
            </w:r>
          </w:p>
        </w:tc>
      </w:tr>
      <w:tr>
        <w:trPr/>
        <w:tc>
          <w:tcPr>
            <w:tcW w:w="2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Stockage fichiers</w:t>
            </w:r>
          </w:p>
        </w:tc>
        <w:tc>
          <w:tcPr>
            <w:tcW w:w="2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1A6FB5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1A6FB5"/>
                <w:sz w:val="20"/>
                <w:szCs w:val="20"/>
              </w:rPr>
              <w:t>Cloudflare R2</w:t>
            </w:r>
          </w:p>
        </w:tc>
        <w:tc>
          <w:tcPr>
            <w:tcW w:w="4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Compatible API S3, 0 $ d'egress, datacenter EU/Afrique, coût minimal.</w:t>
            </w:r>
          </w:p>
        </w:tc>
      </w:tr>
      <w:tr>
        <w:trPr/>
        <w:tc>
          <w:tcPr>
            <w:tcW w:w="2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Génération PDF</w:t>
            </w:r>
          </w:p>
        </w:tc>
        <w:tc>
          <w:tcPr>
            <w:tcW w:w="2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1A6FB5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1A6FB5"/>
                <w:sz w:val="20"/>
                <w:szCs w:val="20"/>
              </w:rPr>
              <w:t>Puppeteer (Node)</w:t>
            </w:r>
          </w:p>
        </w:tc>
        <w:tc>
          <w:tcPr>
            <w:tcW w:w="4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Rendu HTML → PDF certifié. QR code embarqué. Compatible serveur headless.</w:t>
            </w:r>
          </w:p>
        </w:tc>
      </w:tr>
      <w:tr>
        <w:trPr/>
        <w:tc>
          <w:tcPr>
            <w:tcW w:w="2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Dashboard Web</w:t>
            </w:r>
          </w:p>
        </w:tc>
        <w:tc>
          <w:tcPr>
            <w:tcW w:w="2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1A6FB5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1A6FB5"/>
                <w:sz w:val="20"/>
                <w:szCs w:val="20"/>
              </w:rPr>
              <w:t>Next.js (React)</w:t>
            </w:r>
          </w:p>
        </w:tc>
        <w:tc>
          <w:tcPr>
            <w:tcW w:w="4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SSR pour banques et admins. Excellent SEO. Déploiement Vercel ou VPS.</w:t>
            </w:r>
          </w:p>
        </w:tc>
      </w:tr>
      <w:tr>
        <w:trPr/>
        <w:tc>
          <w:tcPr>
            <w:tcW w:w="2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ORM</w:t>
            </w:r>
          </w:p>
        </w:tc>
        <w:tc>
          <w:tcPr>
            <w:tcW w:w="2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1A6FB5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1A6FB5"/>
                <w:sz w:val="20"/>
                <w:szCs w:val="20"/>
              </w:rPr>
              <w:t>Prisma</w:t>
            </w:r>
          </w:p>
        </w:tc>
        <w:tc>
          <w:tcPr>
            <w:tcW w:w="4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Type-safe, migrations versionnées, introspection PostgreSQL native.</w:t>
            </w:r>
          </w:p>
        </w:tc>
      </w:tr>
      <w:tr>
        <w:trPr/>
        <w:tc>
          <w:tcPr>
            <w:tcW w:w="2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Auth</w:t>
            </w:r>
          </w:p>
        </w:tc>
        <w:tc>
          <w:tcPr>
            <w:tcW w:w="2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1A6FB5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1A6FB5"/>
                <w:sz w:val="20"/>
                <w:szCs w:val="20"/>
              </w:rPr>
              <w:t>JWT RS256 + bcrypt</w:t>
            </w:r>
          </w:p>
        </w:tc>
        <w:tc>
          <w:tcPr>
            <w:tcW w:w="4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Tokens asymétriques. PIN hashé bcrypt. Biométrie via flutter_secure_storage.</w:t>
            </w:r>
          </w:p>
        </w:tc>
      </w:tr>
      <w:tr>
        <w:trPr/>
        <w:tc>
          <w:tcPr>
            <w:tcW w:w="2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Infra / CI-CD</w:t>
            </w:r>
          </w:p>
        </w:tc>
        <w:tc>
          <w:tcPr>
            <w:tcW w:w="2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1A6FB5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1A6FB5"/>
                <w:sz w:val="20"/>
                <w:szCs w:val="20"/>
              </w:rPr>
              <w:t>Docker + GitHub Actions</w:t>
            </w:r>
          </w:p>
        </w:tc>
        <w:tc>
          <w:tcPr>
            <w:tcW w:w="4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Portabilité totale. Déploiement VPS Scaleway (EU/Afrique) ou AWS Lightsail.</w:t>
            </w:r>
          </w:p>
        </w:tc>
      </w:tr>
    </w:tbl>
    <w:p>
      <w:pPr>
        <w:pStyle w:val="Normal"/>
        <w:bidi w:val="0"/>
        <w:spacing w:before="140" w:after="0"/>
        <w:jc w:val="left"/>
        <w:rPr/>
      </w:pPr>
      <w:r>
        <w:rPr/>
      </w:r>
    </w:p>
    <w:p>
      <w:pPr>
        <w:pStyle w:val="Titre2"/>
        <w:bidi w:val="0"/>
        <w:spacing w:before="320" w:after="140"/>
        <w:jc w:val="left"/>
        <w:rPr>
          <w:rFonts w:ascii="Calibri" w:hAnsi="Calibri" w:eastAsia="Calibri" w:cs="Calibri"/>
          <w:b/>
          <w:b/>
          <w:bCs/>
          <w:color w:val="1A6FB5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1A6FB5"/>
          <w:sz w:val="26"/>
          <w:szCs w:val="26"/>
        </w:rPr>
        <w:t>5.2  Application Mobile — Points Clés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Priorité Android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Android représente 85 %+ des smartphones en Afrique subsaharienne. iOS supporté mais non prioritaire au MVP.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Taille cible de l'APK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&lt; 30 MB pour compatibilité avec les appareils d'entrée de gamme et connexions lentes.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Multi-langues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Français, Anglais dès le MVP. Wolof, Fon, Bambara, Haoussa en Phase 2 via fichiers ARB.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Notifications push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Firebase Cloud Messaging — alertes stock, rappels fiscaux, statut des demandes de prêt.</w:t>
      </w:r>
    </w:p>
    <w:p>
      <w:pPr>
        <w:pStyle w:val="Titre2"/>
        <w:bidi w:val="0"/>
        <w:spacing w:before="320" w:after="140"/>
        <w:jc w:val="left"/>
        <w:rPr>
          <w:rFonts w:ascii="Calibri" w:hAnsi="Calibri" w:eastAsia="Calibri" w:cs="Calibri"/>
          <w:b/>
          <w:b/>
          <w:bCs/>
          <w:color w:val="1A6FB5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1A6FB5"/>
          <w:sz w:val="26"/>
          <w:szCs w:val="26"/>
        </w:rPr>
        <w:t>5.3  Données — Points Clés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Hash Chain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chaque transaction stocke hash_chain = SHA-256(contenu || hash_précédent). Toute altération rétroactive est détectable. Substitut léger et légalement reconnu à une blockchain.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Row-Level Security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activé sur toutes les tables sensibles. Les politiques RLS sont définies au niveau SGBD, indépendamment de l'application.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Trigger d'audit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toute écriture sur la table transactions déclenche automatiquement un INSERT dans audit_logs.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Politique NO DELETE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règle PostgreSQL bloquant les DELETE sur transactions et audit_logs au niveau moteur (pas seulement applicatif).</w:t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Titre1"/>
        <w:pBdr>
          <w:bottom w:val="single" w:sz="8" w:space="4" w:color="D4AF37"/>
        </w:pBdr>
        <w:bidi w:val="0"/>
        <w:spacing w:before="500" w:after="200"/>
        <w:jc w:val="left"/>
        <w:rPr>
          <w:rFonts w:ascii="Calibri" w:hAnsi="Calibri" w:eastAsia="Calibri" w:cs="Calibri"/>
          <w:b/>
          <w:b/>
          <w:bCs/>
          <w:color w:val="0D3B6E"/>
          <w:sz w:val="34"/>
          <w:szCs w:val="34"/>
        </w:rPr>
      </w:pPr>
      <w:r>
        <w:rPr>
          <w:rFonts w:eastAsia="Calibri" w:cs="Calibri" w:ascii="Calibri" w:hAnsi="Calibri"/>
          <w:b/>
          <w:bCs/>
          <w:color w:val="0D3B6E"/>
          <w:sz w:val="34"/>
          <w:szCs w:val="34"/>
        </w:rPr>
        <w:t>6. Sécurité, Immuabilité &amp; Conformité</w:t>
      </w:r>
    </w:p>
    <w:p>
      <w:pPr>
        <w:pStyle w:val="Titre2"/>
        <w:bidi w:val="0"/>
        <w:spacing w:before="320" w:after="140"/>
        <w:jc w:val="left"/>
        <w:rPr>
          <w:rFonts w:ascii="Calibri" w:hAnsi="Calibri" w:eastAsia="Calibri" w:cs="Calibri"/>
          <w:b/>
          <w:b/>
          <w:bCs/>
          <w:color w:val="1A6FB5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1A6FB5"/>
          <w:sz w:val="26"/>
          <w:szCs w:val="26"/>
        </w:rPr>
        <w:t>6.1  Authentification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Code PIN 6 chiffres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hashé bcrypt (coût 12) côté client avant transmission. Jamais stocké en clair.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Biométrie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empreinte digitale via flutter_local_auth. La clé biométrique reste dans le Secure Enclave du device — elle n'est jamais envoyée au serveur.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Verrouillage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3 tentatives de PIN incorrectes → compte verrouillé 15 minutes. 10 tentatives → alerte administrateur.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Sessions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JWT RS256, durée 7 jours, révocables depuis le back-office en cas de perte d'appareil.</w:t>
      </w:r>
    </w:p>
    <w:p>
      <w:pPr>
        <w:pStyle w:val="Titre2"/>
        <w:bidi w:val="0"/>
        <w:spacing w:before="320" w:after="140"/>
        <w:jc w:val="left"/>
        <w:rPr>
          <w:rFonts w:ascii="Calibri" w:hAnsi="Calibri" w:eastAsia="Calibri" w:cs="Calibri"/>
          <w:b/>
          <w:b/>
          <w:bCs/>
          <w:color w:val="1A6FB5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1A6FB5"/>
          <w:sz w:val="26"/>
          <w:szCs w:val="26"/>
        </w:rPr>
        <w:t>6.2  Identification du Dispositif — Remplacement de l'IMEI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2" w:space="0" w:color="B03A2E"/>
              <w:left w:val="single" w:sz="2" w:space="0" w:color="B03A2E"/>
              <w:bottom w:val="single" w:sz="2" w:space="0" w:color="B03A2E"/>
              <w:right w:val="single" w:sz="2" w:space="0" w:color="B03A2E"/>
            </w:tcBorders>
            <w:shd w:fill="B03A2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21"/>
                <w:szCs w:val="21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⚠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IMEI : collecte illégale dans la majorité des juridictions</w:t>
            </w:r>
          </w:p>
        </w:tc>
      </w:tr>
      <w:tr>
        <w:trPr/>
        <w:tc>
          <w:tcPr>
            <w:tcW w:w="9200" w:type="dxa"/>
            <w:tcBorders>
              <w:top w:val="single" w:sz="2" w:space="0" w:color="B03A2E"/>
              <w:left w:val="single" w:sz="2" w:space="0" w:color="B03A2E"/>
              <w:bottom w:val="single" w:sz="2" w:space="0" w:color="B03A2E"/>
              <w:right w:val="single" w:sz="2" w:space="0" w:color="B03A2E"/>
            </w:tcBorders>
            <w:shd w:fill="FDECEA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La collecte directe de l'IMEI est interdite par le RGPD et bloquée par Android 10+.</w:t>
            </w:r>
          </w:p>
        </w:tc>
      </w:tr>
      <w:tr>
        <w:trPr/>
        <w:tc>
          <w:tcPr>
            <w:tcW w:w="9200" w:type="dxa"/>
            <w:tcBorders>
              <w:top w:val="single" w:sz="2" w:space="0" w:color="B03A2E"/>
              <w:left w:val="single" w:sz="2" w:space="0" w:color="B03A2E"/>
              <w:bottom w:val="single" w:sz="2" w:space="0" w:color="B03A2E"/>
              <w:right w:val="single" w:sz="2" w:space="0" w:color="B03A2E"/>
            </w:tcBorders>
            <w:shd w:fill="FDECEA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Le cahier des charges v1 prévoyait l'IMEI dans les logs d'audit comme preuve légale.</w:t>
            </w:r>
          </w:p>
        </w:tc>
      </w:tr>
      <w:tr>
        <w:trPr/>
        <w:tc>
          <w:tcPr>
            <w:tcW w:w="9200" w:type="dxa"/>
            <w:tcBorders>
              <w:top w:val="single" w:sz="2" w:space="0" w:color="B03A2E"/>
              <w:left w:val="single" w:sz="2" w:space="0" w:color="B03A2E"/>
              <w:bottom w:val="single" w:sz="2" w:space="0" w:color="B03A2E"/>
              <w:right w:val="single" w:sz="2" w:space="0" w:color="B03A2E"/>
            </w:tcBorders>
            <w:shd w:fill="FDECEA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Cette approche a été remplacée par un device fingerprint pseudonyme.</w:t>
            </w:r>
          </w:p>
        </w:tc>
      </w:tr>
    </w:tbl>
    <w:p>
      <w:pPr>
        <w:pStyle w:val="Normal"/>
        <w:bidi w:val="0"/>
        <w:spacing w:before="80" w:after="0"/>
        <w:jc w:val="left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2" w:space="0" w:color="1E7A43"/>
              <w:left w:val="single" w:sz="2" w:space="0" w:color="1E7A43"/>
              <w:bottom w:val="single" w:sz="2" w:space="0" w:color="1E7A43"/>
              <w:right w:val="single" w:sz="2" w:space="0" w:color="1E7A43"/>
            </w:tcBorders>
            <w:shd w:fill="1E7A43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21"/>
                <w:szCs w:val="21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✅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Device Fingerprint pseudonyme (valeur légale équivalente)</w:t>
            </w:r>
          </w:p>
        </w:tc>
      </w:tr>
      <w:tr>
        <w:trPr/>
        <w:tc>
          <w:tcPr>
            <w:tcW w:w="9200" w:type="dxa"/>
            <w:tcBorders>
              <w:top w:val="single" w:sz="2" w:space="0" w:color="1E7A43"/>
              <w:left w:val="single" w:sz="2" w:space="0" w:color="1E7A43"/>
              <w:bottom w:val="single" w:sz="2" w:space="0" w:color="1E7A43"/>
              <w:right w:val="single" w:sz="2" w:space="0" w:color="1E7A43"/>
            </w:tcBorders>
            <w:shd w:fill="D5F0E3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Un UUID device est généré à l'installation : SHA-256(hardware_id + app_signature + installation_salt).</w:t>
            </w:r>
          </w:p>
        </w:tc>
      </w:tr>
      <w:tr>
        <w:trPr/>
        <w:tc>
          <w:tcPr>
            <w:tcW w:w="9200" w:type="dxa"/>
            <w:tcBorders>
              <w:top w:val="single" w:sz="2" w:space="0" w:color="1E7A43"/>
              <w:left w:val="single" w:sz="2" w:space="0" w:color="1E7A43"/>
              <w:bottom w:val="single" w:sz="2" w:space="0" w:color="1E7A43"/>
              <w:right w:val="single" w:sz="2" w:space="0" w:color="1E7A43"/>
            </w:tcBorders>
            <w:shd w:fill="D5F0E3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Ce UUID est non réversible vers l'IMEI réel — il est pseudonyme, non biométrique.</w:t>
            </w:r>
          </w:p>
        </w:tc>
      </w:tr>
      <w:tr>
        <w:trPr/>
        <w:tc>
          <w:tcPr>
            <w:tcW w:w="9200" w:type="dxa"/>
            <w:tcBorders>
              <w:top w:val="single" w:sz="2" w:space="0" w:color="1E7A43"/>
              <w:left w:val="single" w:sz="2" w:space="0" w:color="1E7A43"/>
              <w:bottom w:val="single" w:sz="2" w:space="0" w:color="1E7A43"/>
              <w:right w:val="single" w:sz="2" w:space="0" w:color="1E7A43"/>
            </w:tcBorders>
            <w:shd w:fill="D5F0E3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Combiné avec l'IP, le GPS et l'horodatage, il permet une identification légale de l'appareil.</w:t>
            </w:r>
          </w:p>
        </w:tc>
      </w:tr>
      <w:tr>
        <w:trPr/>
        <w:tc>
          <w:tcPr>
            <w:tcW w:w="9200" w:type="dxa"/>
            <w:tcBorders>
              <w:top w:val="single" w:sz="2" w:space="0" w:color="1E7A43"/>
              <w:left w:val="single" w:sz="2" w:space="0" w:color="1E7A43"/>
              <w:bottom w:val="single" w:sz="2" w:space="0" w:color="1E7A43"/>
              <w:right w:val="single" w:sz="2" w:space="0" w:color="1E7A43"/>
            </w:tcBorders>
            <w:shd w:fill="D5F0E3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En cas de procédure judiciaire, le mapping UUID → appareil physique peut être établi avec mandat.</w:t>
            </w:r>
          </w:p>
        </w:tc>
      </w:tr>
    </w:tbl>
    <w:p>
      <w:pPr>
        <w:pStyle w:val="Normal"/>
        <w:bidi w:val="0"/>
        <w:spacing w:before="120" w:after="0"/>
        <w:jc w:val="left"/>
        <w:rPr/>
      </w:pPr>
      <w:r>
        <w:rPr/>
      </w:r>
    </w:p>
    <w:p>
      <w:pPr>
        <w:pStyle w:val="Titre2"/>
        <w:bidi w:val="0"/>
        <w:spacing w:before="320" w:after="140"/>
        <w:jc w:val="left"/>
        <w:rPr>
          <w:rFonts w:ascii="Calibri" w:hAnsi="Calibri" w:eastAsia="Calibri" w:cs="Calibri"/>
          <w:b/>
          <w:b/>
          <w:bCs/>
          <w:color w:val="1A6FB5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1A6FB5"/>
          <w:sz w:val="26"/>
          <w:szCs w:val="26"/>
        </w:rPr>
        <w:t>6.3  Chiffrement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Transport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HTTPS obligatoire avec TLS 1.3 minimum. HSTS activé. Certificate pinning sur l'app mobile.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Données au repos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chiffrement AES-256 via pg_crypto sur les colonnes sensibles (montants, score, solde). Disques serveur chiffrés (LUKS).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Reçus et documents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chiffrés côté serveur sur Cloudflare R2 avec clé gérée par l'application.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Base de données locale (mobile)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SQLite chiffrée via SQLCipher avec clé stockée dans le Secure Enclave.</w:t>
      </w:r>
    </w:p>
    <w:p>
      <w:pPr>
        <w:pStyle w:val="Titre2"/>
        <w:bidi w:val="0"/>
        <w:spacing w:before="320" w:after="140"/>
        <w:jc w:val="left"/>
        <w:rPr>
          <w:rFonts w:ascii="Calibri" w:hAnsi="Calibri" w:eastAsia="Calibri" w:cs="Calibri"/>
          <w:b/>
          <w:b/>
          <w:bCs/>
          <w:color w:val="1A6FB5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1A6FB5"/>
          <w:sz w:val="26"/>
          <w:szCs w:val="26"/>
        </w:rPr>
        <w:t>6.4  Journal d'Audit Granulaire</w:t>
      </w:r>
    </w:p>
    <w:p>
      <w:pPr>
        <w:pStyle w:val="Normal"/>
        <w:bidi w:val="0"/>
        <w:spacing w:before="80" w:after="80"/>
        <w:jc w:val="both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olor w:val="1C2833"/>
          <w:sz w:val="22"/>
          <w:szCs w:val="22"/>
        </w:rPr>
      </w:pPr>
      <w:r>
        <w:rPr>
          <w:rFonts w:eastAsia="Calibri" w:cs="Calibri"/>
          <w:b w:val="false"/>
          <w:bCs w:val="false"/>
          <w:i w:val="false"/>
          <w:iCs w:val="false"/>
          <w:color w:val="1C2833"/>
          <w:sz w:val="22"/>
          <w:szCs w:val="22"/>
        </w:rPr>
        <w:t>Chaque action critique génère une entrée immuable dans audit_logs.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000"/>
        <w:gridCol w:w="6200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Information enregistrée</w:t>
            </w:r>
          </w:p>
        </w:tc>
        <w:tc>
          <w:tcPr>
            <w:tcW w:w="6200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Détail</w:t>
            </w:r>
          </w:p>
        </w:tc>
      </w:tr>
      <w:tr>
        <w:trPr/>
        <w:tc>
          <w:tcPr>
            <w:tcW w:w="3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ID utilisateur</w:t>
            </w:r>
          </w:p>
        </w:tc>
        <w:tc>
          <w:tcPr>
            <w:tcW w:w="62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UUID interne de l'acteur (jamais de données nominatives dans les logs)</w:t>
            </w:r>
          </w:p>
        </w:tc>
      </w:tr>
      <w:tr>
        <w:trPr/>
        <w:tc>
          <w:tcPr>
            <w:tcW w:w="3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Action</w:t>
            </w:r>
          </w:p>
        </w:tc>
        <w:tc>
          <w:tcPr>
            <w:tcW w:w="62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Code normalisé : LOGIN, SALE_CREATE, REVERSAL_CREATE, EXPORT_BILAN, LOAN_REQUEST…</w:t>
            </w:r>
          </w:p>
        </w:tc>
      </w:tr>
      <w:tr>
        <w:trPr/>
        <w:tc>
          <w:tcPr>
            <w:tcW w:w="3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Horodatage</w:t>
            </w:r>
          </w:p>
        </w:tc>
        <w:tc>
          <w:tcPr>
            <w:tcW w:w="62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Date/heure/seconde UTC — serveur, non modifiable</w:t>
            </w:r>
          </w:p>
        </w:tc>
      </w:tr>
      <w:tr>
        <w:trPr/>
        <w:tc>
          <w:tcPr>
            <w:tcW w:w="3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Adresse IP</w:t>
            </w:r>
          </w:p>
        </w:tc>
        <w:tc>
          <w:tcPr>
            <w:tcW w:w="62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IPv4 ou IPv6 de la connexion</w:t>
            </w:r>
          </w:p>
        </w:tc>
      </w:tr>
      <w:tr>
        <w:trPr/>
        <w:tc>
          <w:tcPr>
            <w:tcW w:w="3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Coordonnées GPS</w:t>
            </w:r>
          </w:p>
        </w:tc>
        <w:tc>
          <w:tcPr>
            <w:tcW w:w="62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Lat/Long si disponible et autorisé par l'utilisateur</w:t>
            </w:r>
          </w:p>
        </w:tc>
      </w:tr>
      <w:tr>
        <w:trPr/>
        <w:tc>
          <w:tcPr>
            <w:tcW w:w="3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Device UUID</w:t>
            </w:r>
          </w:p>
        </w:tc>
        <w:tc>
          <w:tcPr>
            <w:tcW w:w="62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Fingerprint pseudonyme de l'appareil (voir §6.2)</w:t>
            </w:r>
          </w:p>
        </w:tc>
      </w:tr>
      <w:tr>
        <w:trPr/>
        <w:tc>
          <w:tcPr>
            <w:tcW w:w="3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Snapshot avant/après</w:t>
            </w:r>
          </w:p>
        </w:tc>
        <w:tc>
          <w:tcPr>
            <w:tcW w:w="62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JSONB de l'état de l'entité modifiée (old_value / new_value)</w:t>
            </w:r>
          </w:p>
        </w:tc>
      </w:tr>
    </w:tbl>
    <w:p>
      <w:pPr>
        <w:pStyle w:val="Titre2"/>
        <w:bidi w:val="0"/>
        <w:spacing w:before="320" w:after="140"/>
        <w:jc w:val="left"/>
        <w:rPr>
          <w:rFonts w:ascii="Calibri" w:hAnsi="Calibri" w:eastAsia="Calibri" w:cs="Calibri"/>
          <w:b/>
          <w:b/>
          <w:bCs/>
          <w:color w:val="1A6FB5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1A6FB5"/>
          <w:sz w:val="26"/>
          <w:szCs w:val="26"/>
        </w:rPr>
        <w:t>6.5  Immuabilité — Hash Chain</w:t>
      </w:r>
    </w:p>
    <w:p>
      <w:pPr>
        <w:pStyle w:val="Normal"/>
        <w:bidi w:val="0"/>
        <w:spacing w:before="80" w:after="80"/>
        <w:jc w:val="both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olor w:val="1C2833"/>
          <w:sz w:val="22"/>
          <w:szCs w:val="22"/>
        </w:rPr>
      </w:pPr>
      <w:r>
        <w:rPr>
          <w:rFonts w:eastAsia="Calibri" w:cs="Calibri"/>
          <w:b w:val="false"/>
          <w:bCs w:val="false"/>
          <w:i w:val="false"/>
          <w:iCs w:val="false"/>
          <w:color w:val="1C2833"/>
          <w:sz w:val="22"/>
          <w:szCs w:val="22"/>
        </w:rPr>
        <w:t>En remplacement d'une blockchain décentralisée (disproportionnée pour le MVP), le système utilise une hash chain en base de données.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ourier New" w:cs="Courier New" w:ascii="Courier New" w:hAnsi="Courier New"/>
          <w:color w:val="1A6FB5"/>
          <w:sz w:val="19"/>
          <w:szCs w:val="19"/>
        </w:rPr>
        <w:t>hash_chain[n]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 xml:space="preserve"> = SHA-256(données_transaction[n] + hash_chain[n-1])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Toute altération rétroactive d'une transaction casse la chaîne à partir de ce point.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La validité de la chaîne peut être vérifiée par un expert judiciaire sans outillage spécialisé.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Un script de vérification automatique tourne toutes les 6 heures — alerte si rupture détectée.</w:t>
      </w:r>
    </w:p>
    <w:p>
      <w:pPr>
        <w:pStyle w:val="Normal"/>
        <w:bidi w:val="0"/>
        <w:spacing w:before="80" w:after="0"/>
        <w:jc w:val="left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2" w:space="0" w:color="D4AF37"/>
              <w:left w:val="single" w:sz="2" w:space="0" w:color="D4AF37"/>
              <w:bottom w:val="single" w:sz="2" w:space="0" w:color="D4AF37"/>
              <w:right w:val="single" w:sz="2" w:space="0" w:color="D4AF37"/>
            </w:tcBorders>
            <w:shd w:fill="D4AF37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21"/>
                <w:szCs w:val="21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📌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Valeur légale</w:t>
            </w:r>
          </w:p>
        </w:tc>
      </w:tr>
      <w:tr>
        <w:trPr/>
        <w:tc>
          <w:tcPr>
            <w:tcW w:w="9200" w:type="dxa"/>
            <w:tcBorders>
              <w:top w:val="single" w:sz="2" w:space="0" w:color="D4AF37"/>
              <w:left w:val="single" w:sz="2" w:space="0" w:color="D4AF37"/>
              <w:bottom w:val="single" w:sz="2" w:space="0" w:color="D4AF37"/>
              <w:right w:val="single" w:sz="2" w:space="0" w:color="D4AF37"/>
            </w:tcBorders>
            <w:shd w:fill="FDF6DC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Ce mécanisme est reconnu par la jurisprudence comme équivalent aux journaux de caisse certifiés.</w:t>
            </w:r>
          </w:p>
        </w:tc>
      </w:tr>
      <w:tr>
        <w:trPr/>
        <w:tc>
          <w:tcPr>
            <w:tcW w:w="9200" w:type="dxa"/>
            <w:tcBorders>
              <w:top w:val="single" w:sz="2" w:space="0" w:color="D4AF37"/>
              <w:left w:val="single" w:sz="2" w:space="0" w:color="D4AF37"/>
              <w:bottom w:val="single" w:sz="2" w:space="0" w:color="D4AF37"/>
              <w:right w:val="single" w:sz="2" w:space="0" w:color="D4AF37"/>
            </w:tcBorders>
            <w:shd w:fill="FDF6DC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Il est plus simple, moins coûteux et plus robuste qu'une blockchain pour ce cas d'usage.</w:t>
            </w:r>
          </w:p>
        </w:tc>
      </w:tr>
      <w:tr>
        <w:trPr/>
        <w:tc>
          <w:tcPr>
            <w:tcW w:w="9200" w:type="dxa"/>
            <w:tcBorders>
              <w:top w:val="single" w:sz="2" w:space="0" w:color="D4AF37"/>
              <w:left w:val="single" w:sz="2" w:space="0" w:color="D4AF37"/>
              <w:bottom w:val="single" w:sz="2" w:space="0" w:color="D4AF37"/>
              <w:right w:val="single" w:sz="2" w:space="0" w:color="D4AF37"/>
            </w:tcBorders>
            <w:shd w:fill="FDF6DC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Une blockchain publique pourrait être envisagée en Phase 4 si exigé par un régulateur.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Titre1"/>
        <w:pBdr>
          <w:bottom w:val="single" w:sz="8" w:space="4" w:color="D4AF37"/>
        </w:pBdr>
        <w:bidi w:val="0"/>
        <w:spacing w:before="500" w:after="200"/>
        <w:jc w:val="left"/>
        <w:rPr>
          <w:rFonts w:ascii="Calibri" w:hAnsi="Calibri" w:eastAsia="Calibri" w:cs="Calibri"/>
          <w:b/>
          <w:b/>
          <w:bCs/>
          <w:color w:val="0D3B6E"/>
          <w:sz w:val="34"/>
          <w:szCs w:val="34"/>
        </w:rPr>
      </w:pPr>
      <w:r>
        <w:rPr>
          <w:rFonts w:eastAsia="Calibri" w:cs="Calibri" w:ascii="Calibri" w:hAnsi="Calibri"/>
          <w:b/>
          <w:bCs/>
          <w:color w:val="0D3B6E"/>
          <w:sz w:val="34"/>
          <w:szCs w:val="34"/>
        </w:rPr>
        <w:t>7. Interfaces et Expérience Utilisateur (UX)</w:t>
      </w:r>
    </w:p>
    <w:p>
      <w:pPr>
        <w:pStyle w:val="Titre2"/>
        <w:bidi w:val="0"/>
        <w:spacing w:before="320" w:after="140"/>
        <w:jc w:val="left"/>
        <w:rPr>
          <w:rFonts w:ascii="Calibri" w:hAnsi="Calibri" w:eastAsia="Calibri" w:cs="Calibri"/>
          <w:b/>
          <w:b/>
          <w:bCs/>
          <w:color w:val="1A6FB5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1A6FB5"/>
          <w:sz w:val="26"/>
          <w:szCs w:val="26"/>
        </w:rPr>
        <w:t>7.1  Principes de Design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Literacité numérique faible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aucun jargon comptable. Les termes 'Entrée d'argent' et 'Sortie d'argent' remplacent 'Recette' et 'Dépense' dans l'interface principale.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Iconographie universelle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panier (vente), camion (livraison/approvisionnement), coffre (caisse), nuage (sync).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Couleurs signifiantes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vert = argent entrant, rouge = argent sortant. Convention respectée sur tous les écrans.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Mode sombre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supporté nativement (économie batterie sur écrans AMOLED répandus en Afrique).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Taille des boutons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minimum 48×48 dp pour accessibilité tactile avec des doigts.</w:t>
      </w:r>
    </w:p>
    <w:p>
      <w:pPr>
        <w:pStyle w:val="Titre2"/>
        <w:bidi w:val="0"/>
        <w:spacing w:before="320" w:after="140"/>
        <w:jc w:val="left"/>
        <w:rPr>
          <w:rFonts w:ascii="Calibri" w:hAnsi="Calibri" w:eastAsia="Calibri" w:cs="Calibri"/>
          <w:b/>
          <w:b/>
          <w:bCs/>
          <w:color w:val="1A6FB5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1A6FB5"/>
          <w:sz w:val="26"/>
          <w:szCs w:val="26"/>
        </w:rPr>
        <w:t>7.2  Multi-langues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000"/>
        <w:gridCol w:w="2000"/>
        <w:gridCol w:w="2600"/>
        <w:gridCol w:w="260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2000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Langues</w:t>
            </w:r>
          </w:p>
        </w:tc>
        <w:tc>
          <w:tcPr>
            <w:tcW w:w="2600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Méthode</w:t>
            </w:r>
          </w:p>
        </w:tc>
        <w:tc>
          <w:tcPr>
            <w:tcW w:w="2600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Statut</w:t>
            </w:r>
          </w:p>
        </w:tc>
      </w:tr>
      <w:tr>
        <w:trPr/>
        <w:tc>
          <w:tcPr>
            <w:tcW w:w="2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MVP (Phase 1)</w:t>
            </w:r>
          </w:p>
        </w:tc>
        <w:tc>
          <w:tcPr>
            <w:tcW w:w="2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1A6FB5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1A6FB5"/>
                <w:sz w:val="20"/>
                <w:szCs w:val="20"/>
              </w:rPr>
              <w:t>Français, Anglais</w:t>
            </w:r>
          </w:p>
        </w:tc>
        <w:tc>
          <w:tcPr>
            <w:tcW w:w="2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Fichiers ARB + flutter_localizations</w:t>
            </w:r>
          </w:p>
        </w:tc>
        <w:tc>
          <w:tcPr>
            <w:tcW w:w="2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✅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Inclus MVP</w:t>
            </w:r>
          </w:p>
        </w:tc>
      </w:tr>
      <w:tr>
        <w:trPr/>
        <w:tc>
          <w:tcPr>
            <w:tcW w:w="2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Phase 2</w:t>
            </w:r>
          </w:p>
        </w:tc>
        <w:tc>
          <w:tcPr>
            <w:tcW w:w="2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1A6FB5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1A6FB5"/>
                <w:sz w:val="20"/>
                <w:szCs w:val="20"/>
              </w:rPr>
              <w:t>Wolof, Bambara, Fon</w:t>
            </w:r>
          </w:p>
        </w:tc>
        <w:tc>
          <w:tcPr>
            <w:tcW w:w="2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Traduction communautaire + ARB</w:t>
            </w:r>
          </w:p>
        </w:tc>
        <w:tc>
          <w:tcPr>
            <w:tcW w:w="2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🔄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Planifié</w:t>
            </w:r>
          </w:p>
        </w:tc>
      </w:tr>
      <w:tr>
        <w:trPr/>
        <w:tc>
          <w:tcPr>
            <w:tcW w:w="2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Phase 3</w:t>
            </w:r>
          </w:p>
        </w:tc>
        <w:tc>
          <w:tcPr>
            <w:tcW w:w="20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1A6FB5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1A6FB5"/>
                <w:sz w:val="20"/>
                <w:szCs w:val="20"/>
              </w:rPr>
              <w:t>Haoussa, Moore, Lingala</w:t>
            </w:r>
          </w:p>
        </w:tc>
        <w:tc>
          <w:tcPr>
            <w:tcW w:w="2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Corpus collecté sur beta-testeurs</w:t>
            </w:r>
          </w:p>
        </w:tc>
        <w:tc>
          <w:tcPr>
            <w:tcW w:w="2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📅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Futur</w:t>
            </w:r>
          </w:p>
        </w:tc>
      </w:tr>
    </w:tbl>
    <w:p>
      <w:pPr>
        <w:pStyle w:val="Titre2"/>
        <w:bidi w:val="0"/>
        <w:spacing w:before="320" w:after="140"/>
        <w:jc w:val="left"/>
        <w:rPr>
          <w:rFonts w:ascii="Calibri" w:hAnsi="Calibri" w:eastAsia="Calibri" w:cs="Calibri"/>
          <w:b/>
          <w:b/>
          <w:bCs/>
          <w:color w:val="1A6FB5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1A6FB5"/>
          <w:sz w:val="26"/>
          <w:szCs w:val="26"/>
        </w:rPr>
        <w:t>7.3  Saisie Vocale — Spécification Révisée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2" w:space="0" w:color="B03A2E"/>
              <w:left w:val="single" w:sz="2" w:space="0" w:color="B03A2E"/>
              <w:bottom w:val="single" w:sz="2" w:space="0" w:color="B03A2E"/>
              <w:right w:val="single" w:sz="2" w:space="0" w:color="B03A2E"/>
            </w:tcBorders>
            <w:shd w:fill="B03A2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21"/>
                <w:szCs w:val="21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⚠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Limitation identifiée — Langues locales</w:t>
            </w:r>
          </w:p>
        </w:tc>
      </w:tr>
      <w:tr>
        <w:trPr/>
        <w:tc>
          <w:tcPr>
            <w:tcW w:w="9200" w:type="dxa"/>
            <w:tcBorders>
              <w:top w:val="single" w:sz="2" w:space="0" w:color="B03A2E"/>
              <w:left w:val="single" w:sz="2" w:space="0" w:color="B03A2E"/>
              <w:bottom w:val="single" w:sz="2" w:space="0" w:color="B03A2E"/>
              <w:right w:val="single" w:sz="2" w:space="0" w:color="B03A2E"/>
            </w:tcBorders>
            <w:shd w:fill="FDECEA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Les modèles NLP pour le Fon, le Haoussa ou le Bambara sont quasi-inexistants en open source.</w:t>
            </w:r>
          </w:p>
        </w:tc>
      </w:tr>
      <w:tr>
        <w:trPr/>
        <w:tc>
          <w:tcPr>
            <w:tcW w:w="9200" w:type="dxa"/>
            <w:tcBorders>
              <w:top w:val="single" w:sz="2" w:space="0" w:color="B03A2E"/>
              <w:left w:val="single" w:sz="2" w:space="0" w:color="B03A2E"/>
              <w:bottom w:val="single" w:sz="2" w:space="0" w:color="B03A2E"/>
              <w:right w:val="single" w:sz="2" w:space="0" w:color="B03A2E"/>
            </w:tcBorders>
            <w:shd w:fill="FDECEA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Promettre la saisie vocale en langues locales dès le MVP serait techniquement irréaliste.</w:t>
            </w:r>
          </w:p>
        </w:tc>
      </w:tr>
    </w:tbl>
    <w:p>
      <w:pPr>
        <w:pStyle w:val="Normal"/>
        <w:bidi w:val="0"/>
        <w:spacing w:before="80" w:after="0"/>
        <w:jc w:val="left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2" w:space="0" w:color="1E7A43"/>
              <w:left w:val="single" w:sz="2" w:space="0" w:color="1E7A43"/>
              <w:bottom w:val="single" w:sz="2" w:space="0" w:color="1E7A43"/>
              <w:right w:val="single" w:sz="2" w:space="0" w:color="1E7A43"/>
            </w:tcBorders>
            <w:shd w:fill="1E7A43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21"/>
                <w:szCs w:val="21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✅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Approche progressive</w:t>
            </w:r>
          </w:p>
        </w:tc>
      </w:tr>
      <w:tr>
        <w:trPr/>
        <w:tc>
          <w:tcPr>
            <w:tcW w:w="9200" w:type="dxa"/>
            <w:tcBorders>
              <w:top w:val="single" w:sz="2" w:space="0" w:color="1E7A43"/>
              <w:left w:val="single" w:sz="2" w:space="0" w:color="1E7A43"/>
              <w:bottom w:val="single" w:sz="2" w:space="0" w:color="1E7A43"/>
              <w:right w:val="single" w:sz="2" w:space="0" w:color="1E7A43"/>
            </w:tcBorders>
            <w:shd w:fill="D5F0E3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MVP : reconnaissance vocale en français et anglais uniquement (Google ML Kit, offline possible).</w:t>
            </w:r>
          </w:p>
        </w:tc>
      </w:tr>
      <w:tr>
        <w:trPr/>
        <w:tc>
          <w:tcPr>
            <w:tcW w:w="9200" w:type="dxa"/>
            <w:tcBorders>
              <w:top w:val="single" w:sz="2" w:space="0" w:color="1E7A43"/>
              <w:left w:val="single" w:sz="2" w:space="0" w:color="1E7A43"/>
              <w:bottom w:val="single" w:sz="2" w:space="0" w:color="1E7A43"/>
              <w:right w:val="single" w:sz="2" w:space="0" w:color="1E7A43"/>
            </w:tcBorders>
            <w:shd w:fill="D5F0E3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Le discours reconnu pré-remplit les champs — validation obligatoire par l'utilisateur avant enregistrement.</w:t>
            </w:r>
          </w:p>
        </w:tc>
      </w:tr>
      <w:tr>
        <w:trPr/>
        <w:tc>
          <w:tcPr>
            <w:tcW w:w="9200" w:type="dxa"/>
            <w:tcBorders>
              <w:top w:val="single" w:sz="2" w:space="0" w:color="1E7A43"/>
              <w:left w:val="single" w:sz="2" w:space="0" w:color="1E7A43"/>
              <w:bottom w:val="single" w:sz="2" w:space="0" w:color="1E7A43"/>
              <w:right w:val="single" w:sz="2" w:space="0" w:color="1E7A43"/>
            </w:tcBorders>
            <w:shd w:fill="D5F0E3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Phase 2 : fine-tuning Whisper (OpenAI) sur corpus collecté auprès des 10 000 premiers utilisateurs.</w:t>
            </w:r>
          </w:p>
        </w:tc>
      </w:tr>
      <w:tr>
        <w:trPr/>
        <w:tc>
          <w:tcPr>
            <w:tcW w:w="9200" w:type="dxa"/>
            <w:tcBorders>
              <w:top w:val="single" w:sz="2" w:space="0" w:color="1E7A43"/>
              <w:left w:val="single" w:sz="2" w:space="0" w:color="1E7A43"/>
              <w:bottom w:val="single" w:sz="2" w:space="0" w:color="1E7A43"/>
              <w:right w:val="single" w:sz="2" w:space="0" w:color="1E7A43"/>
            </w:tcBorders>
            <w:shd w:fill="D5F0E3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Aucune transaction ne peut être enregistrée automatiquement par la voix sans confirmation visuelle.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Titre1"/>
        <w:pBdr>
          <w:bottom w:val="single" w:sz="8" w:space="4" w:color="D4AF37"/>
        </w:pBdr>
        <w:bidi w:val="0"/>
        <w:spacing w:before="500" w:after="200"/>
        <w:jc w:val="left"/>
        <w:rPr>
          <w:rFonts w:ascii="Calibri" w:hAnsi="Calibri" w:eastAsia="Calibri" w:cs="Calibri"/>
          <w:b/>
          <w:b/>
          <w:bCs/>
          <w:color w:val="0D3B6E"/>
          <w:sz w:val="34"/>
          <w:szCs w:val="34"/>
        </w:rPr>
      </w:pPr>
      <w:r>
        <w:rPr>
          <w:rFonts w:eastAsia="Calibri" w:cs="Calibri" w:ascii="Calibri" w:hAnsi="Calibri"/>
          <w:b/>
          <w:bCs/>
          <w:color w:val="0D3B6E"/>
          <w:sz w:val="34"/>
          <w:szCs w:val="34"/>
        </w:rPr>
        <w:t>8. Contraintes Légales &amp; Réglementaires</w:t>
      </w:r>
    </w:p>
    <w:p>
      <w:pPr>
        <w:pStyle w:val="Titre2"/>
        <w:bidi w:val="0"/>
        <w:spacing w:before="320" w:after="140"/>
        <w:jc w:val="left"/>
        <w:rPr>
          <w:rFonts w:ascii="Calibri" w:hAnsi="Calibri" w:eastAsia="Calibri" w:cs="Calibri"/>
          <w:b/>
          <w:b/>
          <w:bCs/>
          <w:color w:val="1A6FB5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1A6FB5"/>
          <w:sz w:val="26"/>
          <w:szCs w:val="26"/>
        </w:rPr>
        <w:t>8.1  Protection des Données Personnelles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RGPD (pour utilisateurs en zone CEDEAO / Union Africaine)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consentement explicite à la collecte, droit d'accès, de rectification et de suppression des données non-financières.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Données financières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ne peuvent être supprimées (immuabilité légale) mais peuvent être anonymisées sur demande après la période légale de conservation (7 ans).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DPO (Data Protection Officer)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désignation obligatoire avant lancement dans l'UE ou dans les pays ayant adopté une loi similaire.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Loi Informatique et Libertés (applicable UEMOA)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déclaration auprès de la CNDP (Bénin), CDVP (Sénégal) ou équivalent local.</w:t>
      </w:r>
    </w:p>
    <w:p>
      <w:pPr>
        <w:pStyle w:val="Titre2"/>
        <w:bidi w:val="0"/>
        <w:spacing w:before="320" w:after="140"/>
        <w:jc w:val="left"/>
        <w:rPr>
          <w:rFonts w:ascii="Calibri" w:hAnsi="Calibri" w:eastAsia="Calibri" w:cs="Calibri"/>
          <w:b/>
          <w:b/>
          <w:bCs/>
          <w:color w:val="1A6FB5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1A6FB5"/>
          <w:sz w:val="26"/>
          <w:szCs w:val="26"/>
        </w:rPr>
        <w:t>8.2  Réglementation Financière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BCEAO (zone franc CFA)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les données servant à l'octroi de crédit doivent respecter les directives sur les bureaux d'information de crédit.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Loi de Finances annuelle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le moteur fiscal est mis à jour dans les 30 jours suivant la publication officielle des nouveaux taux.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Conservation légale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les données comptables sont conservées 7 ans minimum (obligation légale dans tous les pays cibles).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Anti-blanchiment (AML)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signalement automatique des transactions anormalement élevées (seuils paramétrables par pays).</w:t>
      </w:r>
    </w:p>
    <w:p>
      <w:pPr>
        <w:pStyle w:val="Titre2"/>
        <w:bidi w:val="0"/>
        <w:spacing w:before="320" w:after="140"/>
        <w:jc w:val="left"/>
        <w:rPr>
          <w:rFonts w:ascii="Calibri" w:hAnsi="Calibri" w:eastAsia="Calibri" w:cs="Calibri"/>
          <w:b/>
          <w:b/>
          <w:bCs/>
          <w:color w:val="1A6FB5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1A6FB5"/>
          <w:sz w:val="26"/>
          <w:szCs w:val="26"/>
        </w:rPr>
        <w:t>8.3  Conformité KYC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Vérification d'identité (photo pièce + selfie) obligatoire avant l'accès au module bancaire.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Intégration avec un partenaire KYC tiers (ex: Smile Identity, Onfido) via API.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>
          <w:rFonts w:ascii="Calibri" w:hAnsi="Calibri" w:eastAsia="Calibri" w:cs="Calibri"/>
          <w:color w:val="1C2833"/>
          <w:sz w:val="21"/>
          <w:szCs w:val="21"/>
        </w:rPr>
      </w:pPr>
      <w:r>
        <w:rPr>
          <w:rFonts w:eastAsia="Calibri" w:cs="Calibri"/>
          <w:color w:val="1C2833"/>
          <w:sz w:val="21"/>
          <w:szCs w:val="21"/>
        </w:rPr>
        <w:t>Le niveau de vérification requis s'adapte au type d'usage (saisie simple vs. demande de prêt).</w:t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Titre1"/>
        <w:pBdr>
          <w:bottom w:val="single" w:sz="8" w:space="4" w:color="D4AF37"/>
        </w:pBdr>
        <w:bidi w:val="0"/>
        <w:spacing w:before="500" w:after="200"/>
        <w:jc w:val="left"/>
        <w:rPr>
          <w:rFonts w:ascii="Calibri" w:hAnsi="Calibri" w:eastAsia="Calibri" w:cs="Calibri"/>
          <w:b/>
          <w:b/>
          <w:bCs/>
          <w:color w:val="0D3B6E"/>
          <w:sz w:val="34"/>
          <w:szCs w:val="34"/>
        </w:rPr>
      </w:pPr>
      <w:r>
        <w:rPr>
          <w:rFonts w:eastAsia="Calibri" w:cs="Calibri" w:ascii="Calibri" w:hAnsi="Calibri"/>
          <w:b/>
          <w:bCs/>
          <w:color w:val="0D3B6E"/>
          <w:sz w:val="34"/>
          <w:szCs w:val="34"/>
        </w:rPr>
        <w:t>9. Gestion Documentaire — Reçus &amp; Archives</w:t>
      </w:r>
    </w:p>
    <w:p>
      <w:pPr>
        <w:pStyle w:val="Titre2"/>
        <w:bidi w:val="0"/>
        <w:spacing w:before="320" w:after="140"/>
        <w:jc w:val="left"/>
        <w:rPr>
          <w:rFonts w:ascii="Calibri" w:hAnsi="Calibri" w:eastAsia="Calibri" w:cs="Calibri"/>
          <w:b/>
          <w:b/>
          <w:bCs/>
          <w:color w:val="1A6FB5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1A6FB5"/>
          <w:sz w:val="26"/>
          <w:szCs w:val="26"/>
        </w:rPr>
        <w:t>9.1  Problématique de Volumétrie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2" w:space="0" w:color="B03A2E"/>
              <w:left w:val="single" w:sz="2" w:space="0" w:color="B03A2E"/>
              <w:bottom w:val="single" w:sz="2" w:space="0" w:color="B03A2E"/>
              <w:right w:val="single" w:sz="2" w:space="0" w:color="B03A2E"/>
            </w:tcBorders>
            <w:shd w:fill="B03A2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21"/>
                <w:szCs w:val="21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⚠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Risque budgétaire non évalué dans la v1</w:t>
            </w:r>
          </w:p>
        </w:tc>
      </w:tr>
      <w:tr>
        <w:trPr/>
        <w:tc>
          <w:tcPr>
            <w:tcW w:w="9200" w:type="dxa"/>
            <w:tcBorders>
              <w:top w:val="single" w:sz="2" w:space="0" w:color="B03A2E"/>
              <w:left w:val="single" w:sz="2" w:space="0" w:color="B03A2E"/>
              <w:bottom w:val="single" w:sz="2" w:space="0" w:color="B03A2E"/>
              <w:right w:val="single" w:sz="2" w:space="0" w:color="B03A2E"/>
            </w:tcBorders>
            <w:shd w:fill="FDECEA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Pour 10 000 commerçants avec 5 reçus/jour à 500 KB en moyenne : 25 GB/jour = ~9 TB/an.</w:t>
            </w:r>
          </w:p>
        </w:tc>
      </w:tr>
      <w:tr>
        <w:trPr/>
        <w:tc>
          <w:tcPr>
            <w:tcW w:w="9200" w:type="dxa"/>
            <w:tcBorders>
              <w:top w:val="single" w:sz="2" w:space="0" w:color="B03A2E"/>
              <w:left w:val="single" w:sz="2" w:space="0" w:color="B03A2E"/>
              <w:bottom w:val="single" w:sz="2" w:space="0" w:color="B03A2E"/>
              <w:right w:val="single" w:sz="2" w:space="0" w:color="B03A2E"/>
            </w:tcBorders>
            <w:shd w:fill="FDECEA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Sans politique de rétention, le coût de stockage devient rapidement insoutenable.</w:t>
            </w:r>
          </w:p>
        </w:tc>
      </w:tr>
    </w:tbl>
    <w:p>
      <w:pPr>
        <w:pStyle w:val="Titre2"/>
        <w:bidi w:val="0"/>
        <w:spacing w:before="320" w:after="140"/>
        <w:jc w:val="left"/>
        <w:rPr>
          <w:rFonts w:ascii="Calibri" w:hAnsi="Calibri" w:eastAsia="Calibri" w:cs="Calibri"/>
          <w:b/>
          <w:b/>
          <w:bCs/>
          <w:color w:val="1A6FB5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1A6FB5"/>
          <w:sz w:val="26"/>
          <w:szCs w:val="26"/>
        </w:rPr>
        <w:t>9.2  Politique de Gestion des Fichiers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Compression automatique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les photos de reçus sont converties en WebP avant upload (réduction 60-70 % de la taille).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Rétention active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accès complet pendant 3 ans.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Archive froide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années 4-7, stockage Cloudflare R2 classe archive (coût réduit, latence acceptable).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Suppression sécurisée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après 7 ans (obligation légale expirée), suppression définitive avec notification à l'utilisateur.</w:t>
      </w:r>
    </w:p>
    <w:p>
      <w:pPr>
        <w:pStyle w:val="ListParagraph"/>
        <w:numPr>
          <w:ilvl w:val="0"/>
          <w:numId w:val="2"/>
        </w:numPr>
        <w:bidi w:val="0"/>
        <w:spacing w:before="55" w:after="55"/>
        <w:jc w:val="left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1"/>
          <w:szCs w:val="21"/>
        </w:rPr>
        <w:t xml:space="preserve">Quota par utilisateur 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1"/>
          <w:szCs w:val="21"/>
        </w:rPr>
        <w:t>500 MB inclus dans l'offre de base. Au-delà, offre premium ou compression supplémentaire proposée.</w:t>
      </w:r>
    </w:p>
    <w:p>
      <w:pPr>
        <w:pStyle w:val="Titre2"/>
        <w:bidi w:val="0"/>
        <w:spacing w:before="320" w:after="140"/>
        <w:jc w:val="left"/>
        <w:rPr>
          <w:rFonts w:ascii="Calibri" w:hAnsi="Calibri" w:eastAsia="Calibri" w:cs="Calibri"/>
          <w:b/>
          <w:b/>
          <w:bCs/>
          <w:color w:val="1A6FB5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1A6FB5"/>
          <w:sz w:val="26"/>
          <w:szCs w:val="26"/>
        </w:rPr>
        <w:t>9.3  Choix du Stockage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400"/>
        <w:gridCol w:w="2200"/>
        <w:gridCol w:w="2199"/>
        <w:gridCol w:w="2401"/>
      </w:tblGrid>
      <w:tr>
        <w:trPr>
          <w:tblHeader w:val="true"/>
        </w:trPr>
        <w:tc>
          <w:tcPr>
            <w:tcW w:w="2400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Solution</w:t>
            </w:r>
          </w:p>
        </w:tc>
        <w:tc>
          <w:tcPr>
            <w:tcW w:w="2200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Coût stockage</w:t>
            </w:r>
          </w:p>
        </w:tc>
        <w:tc>
          <w:tcPr>
            <w:tcW w:w="2199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Coût egress</w:t>
            </w:r>
          </w:p>
        </w:tc>
        <w:tc>
          <w:tcPr>
            <w:tcW w:w="2401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Recommandation</w:t>
            </w:r>
          </w:p>
        </w:tc>
      </w:tr>
      <w:tr>
        <w:trPr/>
        <w:tc>
          <w:tcPr>
            <w:tcW w:w="2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AWS S3</w:t>
            </w:r>
          </w:p>
        </w:tc>
        <w:tc>
          <w:tcPr>
            <w:tcW w:w="22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~23 $/TB/mois</w:t>
            </w:r>
          </w:p>
        </w:tc>
        <w:tc>
          <w:tcPr>
            <w:tcW w:w="2199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~90 $/TB</w:t>
            </w:r>
          </w:p>
        </w:tc>
        <w:tc>
          <w:tcPr>
            <w:tcW w:w="2401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B03A2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B03A2E"/>
                <w:sz w:val="20"/>
                <w:szCs w:val="20"/>
              </w:rPr>
              <w:t>Non recommandé (egress coûteux)</w:t>
            </w:r>
          </w:p>
        </w:tc>
      </w:tr>
      <w:tr>
        <w:trPr/>
        <w:tc>
          <w:tcPr>
            <w:tcW w:w="2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Cloudflare R2 ✅</w:t>
            </w:r>
          </w:p>
        </w:tc>
        <w:tc>
          <w:tcPr>
            <w:tcW w:w="22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~15 $/TB/mois</w:t>
            </w:r>
          </w:p>
        </w:tc>
        <w:tc>
          <w:tcPr>
            <w:tcW w:w="2199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0 $ (gratuit)</w:t>
            </w:r>
          </w:p>
        </w:tc>
        <w:tc>
          <w:tcPr>
            <w:tcW w:w="2401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1E7A43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1E7A43"/>
                <w:sz w:val="20"/>
                <w:szCs w:val="20"/>
              </w:rPr>
              <w:t>Recommandé — idéal pour documents</w:t>
            </w:r>
          </w:p>
        </w:tc>
      </w:tr>
      <w:tr>
        <w:trPr/>
        <w:tc>
          <w:tcPr>
            <w:tcW w:w="2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Backblaze B2</w:t>
            </w:r>
          </w:p>
        </w:tc>
        <w:tc>
          <w:tcPr>
            <w:tcW w:w="22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~6 $/TB/mois</w:t>
            </w:r>
          </w:p>
        </w:tc>
        <w:tc>
          <w:tcPr>
            <w:tcW w:w="2199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~10 $/TB</w:t>
            </w:r>
          </w:p>
        </w:tc>
        <w:tc>
          <w:tcPr>
            <w:tcW w:w="2401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1A6FB5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1A6FB5"/>
                <w:sz w:val="20"/>
                <w:szCs w:val="20"/>
              </w:rPr>
              <w:t>Alternative économique</w:t>
            </w:r>
          </w:p>
        </w:tc>
      </w:tr>
      <w:tr>
        <w:trPr/>
        <w:tc>
          <w:tcPr>
            <w:tcW w:w="2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Google Cloud Storage</w:t>
            </w:r>
          </w:p>
        </w:tc>
        <w:tc>
          <w:tcPr>
            <w:tcW w:w="22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~20 $/TB/mois</w:t>
            </w:r>
          </w:p>
        </w:tc>
        <w:tc>
          <w:tcPr>
            <w:tcW w:w="2199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~120 $/TB</w:t>
            </w:r>
          </w:p>
        </w:tc>
        <w:tc>
          <w:tcPr>
            <w:tcW w:w="2401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B03A2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B03A2E"/>
                <w:sz w:val="20"/>
                <w:szCs w:val="20"/>
              </w:rPr>
              <w:t>Non recommandé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Titre1"/>
        <w:pBdr>
          <w:bottom w:val="single" w:sz="8" w:space="4" w:color="D4AF37"/>
        </w:pBdr>
        <w:bidi w:val="0"/>
        <w:spacing w:before="500" w:after="200"/>
        <w:jc w:val="left"/>
        <w:rPr>
          <w:rFonts w:ascii="Calibri" w:hAnsi="Calibri" w:eastAsia="Calibri" w:cs="Calibri"/>
          <w:b/>
          <w:b/>
          <w:bCs/>
          <w:color w:val="0D3B6E"/>
          <w:sz w:val="34"/>
          <w:szCs w:val="34"/>
        </w:rPr>
      </w:pPr>
      <w:r>
        <w:rPr>
          <w:rFonts w:eastAsia="Calibri" w:cs="Calibri" w:ascii="Calibri" w:hAnsi="Calibri"/>
          <w:b/>
          <w:bCs/>
          <w:color w:val="0D3B6E"/>
          <w:sz w:val="34"/>
          <w:szCs w:val="34"/>
        </w:rPr>
        <w:t>10. Planning Prévisionnel Révisé</w:t>
      </w:r>
    </w:p>
    <w:p>
      <w:pPr>
        <w:pStyle w:val="Normal"/>
        <w:bidi w:val="0"/>
        <w:spacing w:before="80" w:after="80"/>
        <w:jc w:val="both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olor w:val="1C2833"/>
          <w:sz w:val="22"/>
          <w:szCs w:val="22"/>
        </w:rPr>
      </w:pPr>
      <w:r>
        <w:rPr>
          <w:rFonts w:eastAsia="Calibri" w:cs="Calibri"/>
          <w:b w:val="false"/>
          <w:bCs w:val="false"/>
          <w:i w:val="false"/>
          <w:iCs w:val="false"/>
          <w:color w:val="1C2833"/>
          <w:sz w:val="22"/>
          <w:szCs w:val="22"/>
        </w:rPr>
        <w:t>Le planning est révisé par rapport à la version initiale pour intégrer les correctifs identifiés (conformité IMEI, stratégie offline, scoring explicable).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400"/>
        <w:gridCol w:w="1199"/>
        <w:gridCol w:w="4600"/>
        <w:gridCol w:w="2001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1199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Durée</w:t>
            </w:r>
          </w:p>
        </w:tc>
        <w:tc>
          <w:tcPr>
            <w:tcW w:w="4600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Livrables</w:t>
            </w:r>
          </w:p>
        </w:tc>
        <w:tc>
          <w:tcPr>
            <w:tcW w:w="2001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Priorité</w:t>
            </w:r>
          </w:p>
        </w:tc>
      </w:tr>
      <w:tr>
        <w:trPr/>
        <w:tc>
          <w:tcPr>
            <w:tcW w:w="1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0 — Fondations</w:t>
            </w:r>
          </w:p>
        </w:tc>
        <w:tc>
          <w:tcPr>
            <w:tcW w:w="1199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5D6D7E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>2 sem.</w:t>
            </w:r>
          </w:p>
        </w:tc>
        <w:tc>
          <w:tcPr>
            <w:tcW w:w="4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Schéma BDD, migrations Prisma, Auth JWT + PIN, Device Fingerprint, CI/CD Docker</w:t>
            </w:r>
          </w:p>
        </w:tc>
        <w:tc>
          <w:tcPr>
            <w:tcW w:w="2001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🔴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Critique</w:t>
            </w:r>
          </w:p>
        </w:tc>
      </w:tr>
      <w:tr>
        <w:trPr/>
        <w:tc>
          <w:tcPr>
            <w:tcW w:w="1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1 — MVP Commerçant</w:t>
            </w:r>
          </w:p>
        </w:tc>
        <w:tc>
          <w:tcPr>
            <w:tcW w:w="1199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5D6D7E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>6 sem.</w:t>
            </w:r>
          </w:p>
        </w:tc>
        <w:tc>
          <w:tcPr>
            <w:tcW w:w="4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App Flutter : saisie ventes/dépenses, gestion stock, offline + sync (UUID idempotent), dashboard KPI</w:t>
            </w:r>
          </w:p>
        </w:tc>
        <w:tc>
          <w:tcPr>
            <w:tcW w:w="2001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🔴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Haute</w:t>
            </w:r>
          </w:p>
        </w:tc>
      </w:tr>
      <w:tr>
        <w:trPr/>
        <w:tc>
          <w:tcPr>
            <w:tcW w:w="1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2 — Fiscalité &amp; Rapports</w:t>
            </w:r>
          </w:p>
        </w:tc>
        <w:tc>
          <w:tcPr>
            <w:tcW w:w="1199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5D6D7E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>3 sem.</w:t>
            </w:r>
          </w:p>
        </w:tc>
        <w:tc>
          <w:tcPr>
            <w:tcW w:w="4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Moteur fiscal multi-pays, génération PDF bilans, QR code de certification, archivage reçus WebP</w:t>
            </w:r>
          </w:p>
        </w:tc>
        <w:tc>
          <w:tcPr>
            <w:tcW w:w="2001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🔴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Haute</w:t>
            </w:r>
          </w:p>
        </w:tc>
      </w:tr>
      <w:tr>
        <w:trPr/>
        <w:tc>
          <w:tcPr>
            <w:tcW w:w="1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3 — Score &amp; Banques</w:t>
            </w:r>
          </w:p>
        </w:tc>
        <w:tc>
          <w:tcPr>
            <w:tcW w:w="1199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5D6D7E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>4 sem.</w:t>
            </w:r>
          </w:p>
        </w:tc>
        <w:tc>
          <w:tcPr>
            <w:tcW w:w="4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Score de crédit explicable, dashboard web banques Next.js, module consentement granulaire, webhooks</w:t>
            </w:r>
          </w:p>
        </w:tc>
        <w:tc>
          <w:tcPr>
            <w:tcW w:w="2001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🟡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Moyenne</w:t>
            </w:r>
          </w:p>
        </w:tc>
      </w:tr>
      <w:tr>
        <w:trPr/>
        <w:tc>
          <w:tcPr>
            <w:tcW w:w="1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Beta — Pilote</w:t>
            </w:r>
          </w:p>
        </w:tc>
        <w:tc>
          <w:tcPr>
            <w:tcW w:w="1199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5D6D7E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>1 mois</w:t>
            </w:r>
          </w:p>
        </w:tc>
        <w:tc>
          <w:tcPr>
            <w:tcW w:w="4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Test avec 10 commerçants pilotes, collecte de feedback, correction de bugs critiques</w:t>
            </w:r>
          </w:p>
        </w:tc>
        <w:tc>
          <w:tcPr>
            <w:tcW w:w="2001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🔴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Critique</w:t>
            </w:r>
          </w:p>
        </w:tc>
      </w:tr>
      <w:tr>
        <w:trPr/>
        <w:tc>
          <w:tcPr>
            <w:tcW w:w="1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4 — Voix &amp; Langues</w:t>
            </w:r>
          </w:p>
        </w:tc>
        <w:tc>
          <w:tcPr>
            <w:tcW w:w="1199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5D6D7E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>4 sem.</w:t>
            </w:r>
          </w:p>
        </w:tc>
        <w:tc>
          <w:tcPr>
            <w:tcW w:w="4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Saisie vocale FR/EN ML Kit, notifications push fiscales, onboarding amélioré</w:t>
            </w:r>
          </w:p>
        </w:tc>
        <w:tc>
          <w:tcPr>
            <w:tcW w:w="2001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🟢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Basse</w:t>
            </w:r>
          </w:p>
        </w:tc>
      </w:tr>
      <w:tr>
        <w:trPr/>
        <w:tc>
          <w:tcPr>
            <w:tcW w:w="1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5 — Scale &amp; Compliance</w:t>
            </w:r>
          </w:p>
        </w:tc>
        <w:tc>
          <w:tcPr>
            <w:tcW w:w="1199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5D6D7E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>Continu</w:t>
            </w:r>
          </w:p>
        </w:tc>
        <w:tc>
          <w:tcPr>
            <w:tcW w:w="46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Partitionnement BDD, audit sécurité tiers, certification ISO 27001, partenariats BCEAO</w:t>
            </w:r>
          </w:p>
        </w:tc>
        <w:tc>
          <w:tcPr>
            <w:tcW w:w="2001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📅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Planifiée</w:t>
            </w:r>
          </w:p>
        </w:tc>
      </w:tr>
    </w:tbl>
    <w:p>
      <w:pPr>
        <w:pStyle w:val="Normal"/>
        <w:bidi w:val="0"/>
        <w:spacing w:before="160" w:after="0"/>
        <w:jc w:val="left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2" w:space="0" w:color="1A6FB5"/>
              <w:left w:val="single" w:sz="2" w:space="0" w:color="1A6FB5"/>
              <w:bottom w:val="single" w:sz="2" w:space="0" w:color="1A6FB5"/>
              <w:right w:val="single" w:sz="2" w:space="0" w:color="1A6FB5"/>
            </w:tcBorders>
            <w:shd w:fill="1A6FB5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21"/>
                <w:szCs w:val="21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📌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Changements par rapport à la version initiale du planning</w:t>
            </w:r>
          </w:p>
        </w:tc>
      </w:tr>
      <w:tr>
        <w:trPr/>
        <w:tc>
          <w:tcPr>
            <w:tcW w:w="9200" w:type="dxa"/>
            <w:tcBorders>
              <w:top w:val="single" w:sz="2" w:space="0" w:color="1A6FB5"/>
              <w:left w:val="single" w:sz="2" w:space="0" w:color="1A6FB5"/>
              <w:bottom w:val="single" w:sz="2" w:space="0" w:color="1A6FB5"/>
              <w:right w:val="single" w:sz="2" w:space="0" w:color="1A6FB5"/>
            </w:tcBorders>
            <w:shd w:fill="E8F1FA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Phase 0 ajoutée : fondations techniques non négociables (sécurité, conformité).</w:t>
            </w:r>
          </w:p>
        </w:tc>
      </w:tr>
      <w:tr>
        <w:trPr/>
        <w:tc>
          <w:tcPr>
            <w:tcW w:w="9200" w:type="dxa"/>
            <w:tcBorders>
              <w:top w:val="single" w:sz="2" w:space="0" w:color="1A6FB5"/>
              <w:left w:val="single" w:sz="2" w:space="0" w:color="1A6FB5"/>
              <w:bottom w:val="single" w:sz="2" w:space="0" w:color="1A6FB5"/>
              <w:right w:val="single" w:sz="2" w:space="0" w:color="1A6FB5"/>
            </w:tcBorders>
            <w:shd w:fill="E8F1FA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Phase Beta maintenue et renforcée : test avec commerçants réels avant lancement store.</w:t>
            </w:r>
          </w:p>
        </w:tc>
      </w:tr>
      <w:tr>
        <w:trPr/>
        <w:tc>
          <w:tcPr>
            <w:tcW w:w="9200" w:type="dxa"/>
            <w:tcBorders>
              <w:top w:val="single" w:sz="2" w:space="0" w:color="1A6FB5"/>
              <w:left w:val="single" w:sz="2" w:space="0" w:color="1A6FB5"/>
              <w:bottom w:val="single" w:sz="2" w:space="0" w:color="1A6FB5"/>
              <w:right w:val="single" w:sz="2" w:space="0" w:color="1A6FB5"/>
            </w:tcBorders>
            <w:shd w:fill="E8F1FA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Saisie vocale décalée en Phase 4 : réaliste techniquement, ne bloque pas le MVP.</w:t>
            </w:r>
          </w:p>
        </w:tc>
      </w:tr>
      <w:tr>
        <w:trPr/>
        <w:tc>
          <w:tcPr>
            <w:tcW w:w="9200" w:type="dxa"/>
            <w:tcBorders>
              <w:top w:val="single" w:sz="2" w:space="0" w:color="1A6FB5"/>
              <w:left w:val="single" w:sz="2" w:space="0" w:color="1A6FB5"/>
              <w:bottom w:val="single" w:sz="2" w:space="0" w:color="1A6FB5"/>
              <w:right w:val="single" w:sz="2" w:space="0" w:color="1A6FB5"/>
            </w:tcBorders>
            <w:shd w:fill="E8F1FA" w:val="clear"/>
            <w:vAlign w:val="center"/>
          </w:tcPr>
          <w:p>
            <w:pPr>
              <w:pStyle w:val="Normal"/>
              <w:widowControl w:val="false"/>
              <w:bidi w:val="0"/>
              <w:spacing w:before="55" w:after="55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Durée totale MVP → Beta : ~4,5 mois (vs. 3 mois initialement — plus réaliste).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Titre1"/>
        <w:pBdr>
          <w:bottom w:val="single" w:sz="8" w:space="4" w:color="D4AF37"/>
        </w:pBdr>
        <w:bidi w:val="0"/>
        <w:spacing w:before="500" w:after="200"/>
        <w:jc w:val="left"/>
        <w:rPr>
          <w:rFonts w:ascii="Calibri" w:hAnsi="Calibri" w:eastAsia="Calibri" w:cs="Calibri"/>
          <w:b/>
          <w:b/>
          <w:bCs/>
          <w:color w:val="0D3B6E"/>
          <w:sz w:val="34"/>
          <w:szCs w:val="34"/>
        </w:rPr>
      </w:pPr>
      <w:r>
        <w:rPr>
          <w:rFonts w:eastAsia="Calibri" w:cs="Calibri" w:ascii="Calibri" w:hAnsi="Calibri"/>
          <w:b/>
          <w:bCs/>
          <w:color w:val="0D3B6E"/>
          <w:sz w:val="34"/>
          <w:szCs w:val="34"/>
        </w:rPr>
        <w:t>11. Glossaire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400"/>
        <w:gridCol w:w="6800"/>
      </w:tblGrid>
      <w:tr>
        <w:trPr>
          <w:tblHeader w:val="true"/>
        </w:trPr>
        <w:tc>
          <w:tcPr>
            <w:tcW w:w="2400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Terme</w:t>
            </w:r>
          </w:p>
        </w:tc>
        <w:tc>
          <w:tcPr>
            <w:tcW w:w="6800" w:type="dxa"/>
            <w:tcBorders>
              <w:top w:val="single" w:sz="2" w:space="0" w:color="0D3B6E"/>
              <w:left w:val="single" w:sz="2" w:space="0" w:color="0D3B6E"/>
              <w:bottom w:val="single" w:sz="2" w:space="0" w:color="0D3B6E"/>
              <w:right w:val="single" w:sz="2" w:space="0" w:color="0D3B6E"/>
            </w:tcBorders>
            <w:shd w:fill="0D3B6E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center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Définition</w:t>
            </w:r>
          </w:p>
        </w:tc>
      </w:tr>
      <w:tr>
        <w:trPr/>
        <w:tc>
          <w:tcPr>
            <w:tcW w:w="2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Contra-passation (Reversal)</w:t>
            </w:r>
          </w:p>
        </w:tc>
        <w:tc>
          <w:tcPr>
            <w:tcW w:w="68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Écriture comptable annulant une transaction erronée. Les deux écritures restent visibles dans l'historique.</w:t>
            </w:r>
          </w:p>
        </w:tc>
      </w:tr>
      <w:tr>
        <w:trPr/>
        <w:tc>
          <w:tcPr>
            <w:tcW w:w="2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Hash Chain</w:t>
            </w:r>
          </w:p>
        </w:tc>
        <w:tc>
          <w:tcPr>
            <w:tcW w:w="68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Mécanisme où chaque transaction contient le hash de la précédente, rendant toute modification rétroactive détectable.</w:t>
            </w:r>
          </w:p>
        </w:tc>
      </w:tr>
      <w:tr>
        <w:trPr/>
        <w:tc>
          <w:tcPr>
            <w:tcW w:w="2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Idempotence</w:t>
            </w:r>
          </w:p>
        </w:tc>
        <w:tc>
          <w:tcPr>
            <w:tcW w:w="68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Propriété d'une opération qui produit le même résultat qu'elle soit exécutée une ou plusieurs fois. Utilisé pour la sync offline.</w:t>
            </w:r>
          </w:p>
        </w:tc>
      </w:tr>
      <w:tr>
        <w:trPr/>
        <w:tc>
          <w:tcPr>
            <w:tcW w:w="2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CRDT</w:t>
            </w:r>
          </w:p>
        </w:tc>
        <w:tc>
          <w:tcPr>
            <w:tcW w:w="68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Conflict-free Replicated Data Type — structure de données permettant la fusion automatique de modifications concurrentes.</w:t>
            </w:r>
          </w:p>
        </w:tc>
      </w:tr>
      <w:tr>
        <w:trPr/>
        <w:tc>
          <w:tcPr>
            <w:tcW w:w="2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Device Fingerprint</w:t>
            </w:r>
          </w:p>
        </w:tc>
        <w:tc>
          <w:tcPr>
            <w:tcW w:w="68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Identifiant pseudonyme généré localement à partir des caractéristiques matérielles du téléphone. Non réversible.</w:t>
            </w:r>
          </w:p>
        </w:tc>
      </w:tr>
      <w:tr>
        <w:trPr/>
        <w:tc>
          <w:tcPr>
            <w:tcW w:w="2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KYC</w:t>
            </w:r>
          </w:p>
        </w:tc>
        <w:tc>
          <w:tcPr>
            <w:tcW w:w="68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Know Your Customer — processus de vérification d'identité réglementaire.</w:t>
            </w:r>
          </w:p>
        </w:tc>
      </w:tr>
      <w:tr>
        <w:trPr/>
        <w:tc>
          <w:tcPr>
            <w:tcW w:w="2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RLS</w:t>
            </w:r>
          </w:p>
        </w:tc>
        <w:tc>
          <w:tcPr>
            <w:tcW w:w="68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Row-Level Security — mécanisme PostgreSQL limitant l'accès aux données au niveau de chaque ligne selon le rôle de l'utilisateur.</w:t>
            </w:r>
          </w:p>
        </w:tc>
      </w:tr>
      <w:tr>
        <w:trPr/>
        <w:tc>
          <w:tcPr>
            <w:tcW w:w="2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Score de crédit</w:t>
            </w:r>
          </w:p>
        </w:tc>
        <w:tc>
          <w:tcPr>
            <w:tcW w:w="68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Note de 0 à 1000 reflétant la santé financière et la fiabilité d'un commerçant. Calculé quotidiennement, explicable.</w:t>
            </w:r>
          </w:p>
        </w:tc>
      </w:tr>
      <w:tr>
        <w:trPr/>
        <w:tc>
          <w:tcPr>
            <w:tcW w:w="2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QR Token</w:t>
            </w:r>
          </w:p>
        </w:tc>
        <w:tc>
          <w:tcPr>
            <w:tcW w:w="68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Jeton signé HMAC-SHA256 encodé dans le QR code des bilans, permettant la vérification d'authenticité en ligne.</w:t>
            </w:r>
          </w:p>
        </w:tc>
      </w:tr>
      <w:tr>
        <w:trPr/>
        <w:tc>
          <w:tcPr>
            <w:tcW w:w="2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Taxe Synthétique</w:t>
            </w:r>
          </w:p>
        </w:tc>
        <w:tc>
          <w:tcPr>
            <w:tcW w:w="68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Régime fiscal forfaitaire destiné aux micro-entreprises dans plusieurs pays d'Afrique de l'Ouest (Bénin, Sénégal…).</w:t>
            </w:r>
          </w:p>
        </w:tc>
      </w:tr>
      <w:tr>
        <w:trPr/>
        <w:tc>
          <w:tcPr>
            <w:tcW w:w="2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BCEAO</w:t>
            </w:r>
          </w:p>
        </w:tc>
        <w:tc>
          <w:tcPr>
            <w:tcW w:w="68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4F6F8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Banque Centrale des États de l'Afrique de l'Ouest — régulateur financier de la zone UEMOA.</w:t>
            </w:r>
          </w:p>
        </w:tc>
      </w:tr>
      <w:tr>
        <w:trPr/>
        <w:tc>
          <w:tcPr>
            <w:tcW w:w="24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/>
                <w:b/>
                <w:bCs/>
                <w:i w:val="false"/>
                <w:i w:val="false"/>
                <w:iCs w:val="false"/>
                <w:color w:val="0D3B6E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D3B6E"/>
                <w:sz w:val="20"/>
                <w:szCs w:val="20"/>
              </w:rPr>
              <w:t>Offline-first</w:t>
            </w:r>
          </w:p>
        </w:tc>
        <w:tc>
          <w:tcPr>
            <w:tcW w:w="6800" w:type="dxa"/>
            <w:tcBorders>
              <w:top w:val="single" w:sz="2" w:space="0" w:color="B2C3D8"/>
              <w:left w:val="single" w:sz="2" w:space="0" w:color="B2C3D8"/>
              <w:bottom w:val="single" w:sz="2" w:space="0" w:color="B2C3D8"/>
              <w:right w:val="single" w:sz="2" w:space="0" w:color="B2C3D8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jc w:val="left"/>
              <w:rPr>
                <w:rFonts w:ascii="Calibri" w:hAnsi="Calibri" w:eastAsia="Calibri" w:cs="Calibri"/>
                <w:b w:val="false"/>
                <w:b w:val="false"/>
                <w:bCs w:val="false"/>
                <w:i w:val="false"/>
                <w:i w:val="false"/>
                <w:iCs w:val="false"/>
                <w:color w:val="1C2833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>Architecture applicative où l'application fonctionne pleinement sans connexion internet et synchronise quand disponible.</w:t>
            </w:r>
          </w:p>
        </w:tc>
      </w:tr>
    </w:tbl>
    <w:p>
      <w:pPr>
        <w:pStyle w:val="Normal"/>
        <w:bidi w:val="0"/>
        <w:spacing w:before="200" w:after="0"/>
        <w:jc w:val="left"/>
        <w:rPr/>
      </w:pPr>
      <w:r>
        <w:rPr/>
      </w:r>
    </w:p>
    <w:p>
      <w:pPr>
        <w:pStyle w:val="Normal"/>
        <w:pBdr>
          <w:top w:val="single" w:sz="4" w:space="6" w:color="D4AF37"/>
        </w:pBdr>
        <w:bidi w:val="0"/>
        <w:spacing w:before="200" w:after="0"/>
        <w:jc w:val="center"/>
        <w:rPr>
          <w:rFonts w:ascii="Calibri" w:hAnsi="Calibri" w:eastAsia="Calibri" w:cs="Calibri"/>
          <w:color w:val="5D6D7E"/>
          <w:sz w:val="18"/>
          <w:szCs w:val="18"/>
        </w:rPr>
      </w:pPr>
      <w:r>
        <w:rPr>
          <w:rFonts w:eastAsia="Calibri" w:cs="Calibri"/>
          <w:color w:val="5D6D7E"/>
          <w:sz w:val="18"/>
          <w:szCs w:val="18"/>
        </w:rPr>
        <w:t>TaxBridge / Kadiatou-Gestion  —  Cahier des Charges v2.0  —  Mars 2026</w:t>
      </w:r>
    </w:p>
    <w:sectPr>
      <w:headerReference w:type="default" r:id="rId2"/>
      <w:footerReference w:type="default" r:id="rId3"/>
      <w:type w:val="nextPage"/>
      <w:pgSz w:w="11906" w:h="16838"/>
      <w:pgMar w:left="1100" w:right="1100" w:gutter="0" w:header="708" w:top="1200" w:footer="708" w:bottom="120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B2C3D8"/>
      </w:pBdr>
      <w:bidi w:val="0"/>
      <w:spacing w:before="100" w:after="0"/>
      <w:jc w:val="center"/>
      <w:rPr/>
    </w:pPr>
    <w:r>
      <w:rPr>
        <w:rFonts w:eastAsia="Calibri" w:cs="Calibri"/>
        <w:color w:val="5D6D7E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  <w:r>
      <w:rPr>
        <w:rFonts w:eastAsia="Calibri" w:cs="Calibri"/>
        <w:color w:val="5D6D7E"/>
        <w:sz w:val="18"/>
        <w:szCs w:val="18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2C3D8"/>
      </w:pBdr>
      <w:bidi w:val="0"/>
      <w:spacing w:before="0" w:after="100"/>
      <w:jc w:val="right"/>
      <w:rPr>
        <w:rFonts w:ascii="Calibri" w:hAnsi="Calibri" w:eastAsia="Calibri" w:cs="Calibri"/>
        <w:color w:val="5D6D7E"/>
        <w:sz w:val="18"/>
        <w:szCs w:val="18"/>
      </w:rPr>
    </w:pPr>
    <w:r>
      <w:rPr>
        <w:rFonts w:eastAsia="Calibri" w:cs="Calibri"/>
        <w:color w:val="5D6D7E"/>
        <w:sz w:val="18"/>
        <w:szCs w:val="18"/>
      </w:rPr>
      <w:t>TaxBridge / Kadiatou-Gestion  —  Cahier des Charges v2.0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val="bestFit" w:percent="222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C2833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Calibri" w:hAnsi="Calibri" w:eastAsia="Calibri" w:cs="Calibri"/>
      <w:color w:val="1C2833"/>
      <w:kern w:val="0"/>
      <w:sz w:val="22"/>
      <w:szCs w:val="22"/>
      <w:lang w:val="fr-FR" w:eastAsia="zh-CN" w:bidi="hi-IN"/>
    </w:rPr>
  </w:style>
  <w:style w:type="paragraph" w:styleId="Titre1">
    <w:name w:val="Heading 1"/>
    <w:basedOn w:val="Titre"/>
    <w:qFormat/>
    <w:pPr>
      <w:numPr>
        <w:ilvl w:val="0"/>
        <w:numId w:val="0"/>
      </w:numPr>
      <w:pBdr>
        <w:bottom w:val="single" w:sz="8" w:space="4" w:color="D4AF37"/>
      </w:pBdr>
      <w:spacing w:before="500" w:after="200"/>
      <w:outlineLvl w:val="0"/>
    </w:pPr>
    <w:rPr>
      <w:rFonts w:ascii="Calibri" w:hAnsi="Calibri" w:eastAsia="Calibri" w:cs="Calibri"/>
      <w:b/>
      <w:bCs/>
      <w:color w:val="0D3B6E"/>
      <w:sz w:val="34"/>
      <w:szCs w:val="34"/>
    </w:rPr>
  </w:style>
  <w:style w:type="paragraph" w:styleId="Titre2">
    <w:name w:val="Heading 2"/>
    <w:basedOn w:val="Titre"/>
    <w:qFormat/>
    <w:pPr>
      <w:numPr>
        <w:ilvl w:val="0"/>
        <w:numId w:val="0"/>
      </w:numPr>
      <w:spacing w:before="320" w:after="140"/>
      <w:outlineLvl w:val="1"/>
    </w:pPr>
    <w:rPr>
      <w:rFonts w:ascii="Calibri" w:hAnsi="Calibri" w:eastAsia="Calibri" w:cs="Calibri"/>
      <w:b/>
      <w:bCs/>
      <w:color w:val="1A6FB5"/>
      <w:sz w:val="26"/>
      <w:szCs w:val="26"/>
    </w:rPr>
  </w:style>
  <w:style w:type="paragraph" w:styleId="Titre3">
    <w:name w:val="Heading 3"/>
    <w:basedOn w:val="Titre"/>
    <w:qFormat/>
    <w:pPr>
      <w:numPr>
        <w:ilvl w:val="0"/>
        <w:numId w:val="0"/>
      </w:numPr>
      <w:spacing w:before="200" w:after="100"/>
      <w:outlineLvl w:val="2"/>
    </w:pPr>
    <w:rPr>
      <w:rFonts w:ascii="Calibri" w:hAnsi="Calibri" w:eastAsia="Calibri" w:cs="Calibri"/>
      <w:b/>
      <w:bCs/>
      <w:color w:val="0D3B6E"/>
      <w:sz w:val="23"/>
      <w:szCs w:val="23"/>
    </w:rPr>
  </w:style>
  <w:style w:type="paragraph" w:styleId="Titre4">
    <w:name w:val="Heading 4"/>
    <w:basedOn w:val="Titre"/>
    <w:qFormat/>
    <w:pPr/>
    <w:rPr>
      <w:i/>
      <w:iCs/>
      <w:color w:val="2E74B5"/>
    </w:rPr>
  </w:style>
  <w:style w:type="paragraph" w:styleId="Titre5">
    <w:name w:val="Heading 5"/>
    <w:basedOn w:val="Titre"/>
    <w:qFormat/>
    <w:pPr/>
    <w:rPr>
      <w:color w:val="2E74B5"/>
    </w:rPr>
  </w:style>
  <w:style w:type="paragraph" w:styleId="Titre6">
    <w:name w:val="Heading 6"/>
    <w:basedOn w:val="Titre"/>
    <w:qFormat/>
    <w:pPr/>
    <w:rPr>
      <w:color w:val="1F4D78"/>
    </w:rPr>
  </w:style>
  <w:style w:type="character" w:styleId="LienInternet">
    <w:name w:val="Lien Internet"/>
    <w:rPr>
      <w:color w:val="0563C1"/>
      <w:u w:val="single"/>
    </w:rPr>
  </w:style>
  <w:style w:type="character" w:styleId="Caractresdenotedebasdepage">
    <w:name w:val="Caractères de note de bas de page"/>
    <w:qFormat/>
    <w:rPr>
      <w:vertAlign w:val="superscript"/>
    </w:rPr>
  </w:style>
  <w:style w:type="character" w:styleId="Ancredenotedebasdepage">
    <w:name w:val="Ancre de note de bas de page"/>
    <w:rPr>
      <w:vertAlign w:val="superscript"/>
    </w:rPr>
  </w:style>
  <w:style w:type="character" w:styleId="FootnoteTextChar">
    <w:name w:val="Footnote Text Char"/>
    <w:qFormat/>
    <w:rPr>
      <w:sz w:val="20"/>
      <w:szCs w:val="20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Titre"/>
    <w:qFormat/>
    <w:pPr/>
    <w:rPr>
      <w:sz w:val="56"/>
      <w:szCs w:val="56"/>
    </w:rPr>
  </w:style>
  <w:style w:type="paragraph" w:styleId="Strong">
    <w:name w:val="Strong"/>
    <w:qFormat/>
    <w:pPr>
      <w:widowControl w:val="false"/>
      <w:kinsoku w:val="true"/>
      <w:overflowPunct w:val="true"/>
      <w:autoSpaceDE w:val="true"/>
      <w:bidi w:val="0"/>
    </w:pPr>
    <w:rPr>
      <w:rFonts w:ascii="Calibri" w:hAnsi="Calibri" w:eastAsia="Calibri" w:cs="Calibri"/>
      <w:b/>
      <w:bCs/>
      <w:color w:val="1C2833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 w:val="false"/>
      <w:kinsoku w:val="true"/>
      <w:overflowPunct w:val="true"/>
      <w:autoSpaceDE w:val="true"/>
      <w:bidi w:val="0"/>
    </w:pPr>
    <w:rPr>
      <w:rFonts w:ascii="Calibri" w:hAnsi="Calibri" w:eastAsia="Calibri" w:cs="Calibri"/>
      <w:color w:val="1C2833"/>
      <w:kern w:val="0"/>
      <w:sz w:val="22"/>
      <w:szCs w:val="22"/>
      <w:lang w:val="fr-FR" w:eastAsia="zh-CN" w:bidi="hi-IN"/>
    </w:rPr>
  </w:style>
  <w:style w:type="paragraph" w:styleId="Notedebasdepage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Entteetpieddepage"/>
    <w:pPr/>
    <w:rPr/>
  </w:style>
  <w:style w:type="paragraph" w:styleId="Pieddepage">
    <w:name w:val="Footer"/>
    <w:basedOn w:val="Entteetpieddepage"/>
    <w:pPr/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LibreOffice/7.3.7.2$Linux_X86_64 LibreOffice_project/30$Build-2</Application>
  <AppVersion>15.0000</AppVersion>
  <Pages>18</Pages>
  <Words>3602</Words>
  <Characters>21247</Characters>
  <CharactersWithSpaces>24485</CharactersWithSpaces>
  <Paragraphs>455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2026-03-21T11:46:31Z</dcterms:created>
  <dc:creator>Un-named</dc:creator>
  <dc:description/>
  <dc:language>fr-FR</dc:language>
  <cp:lastModifiedBy/>
  <dcterms:modified xsi:type="dcterms:W3CDTF">2026-03-21T15:50:04Z</dcterms:modified>
  <cp:revision>3</cp:revision>
  <dc:subject/>
  <dc:title/>
</cp:coreProperties>
</file>