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jc w:val="center"/>
      </w:pPr>
      <w:r>
        <w:rPr>
          <w:rFonts w:ascii="Arial" w:cs="Arial" w:eastAsia="Arial" w:hAnsi="Arial"/>
          <w:b/>
          <w:bCs/>
          <w:color w:val="1B4F8A"/>
          <w:sz w:val="52"/>
          <w:szCs w:val="52"/>
        </w:rPr>
        <w:t xml:space="preserve">TaxBridge / Kadiatou-Gestion</w:t>
      </w:r>
    </w:p>
    <w:p>
      <w:pPr>
        <w:spacing w:before="120" w:after="0"/>
      </w:pPr>
      <w:r>
        <w:t xml:space="preserve"/>
      </w:r>
    </w:p>
    <w:p>
      <w:pPr>
        <w:jc w:val="center"/>
      </w:pPr>
      <w:r>
        <w:rPr>
          <w:rFonts w:ascii="Arial" w:cs="Arial" w:eastAsia="Arial" w:hAnsi="Arial"/>
          <w:b/>
          <w:bCs/>
          <w:color w:val="2980B9"/>
          <w:sz w:val="34"/>
          <w:szCs w:val="34"/>
        </w:rPr>
        <w:t xml:space="preserve">Document Technique Complet</w:t>
      </w:r>
    </w:p>
    <w:p>
      <w:pPr>
        <w:spacing w:before="80" w:after="0"/>
      </w:pPr>
      <w:r>
        <w:t xml:space="preserve"/>
      </w:r>
    </w:p>
    <w:p>
      <w:pPr>
        <w:jc w:val="center"/>
      </w:pPr>
      <w:r>
        <w:rPr>
          <w:rFonts w:ascii="Arial" w:cs="Arial" w:eastAsia="Arial" w:hAnsi="Arial"/>
          <w:color w:val="555555"/>
          <w:sz w:val="26"/>
          <w:szCs w:val="26"/>
        </w:rPr>
        <w:t xml:space="preserve">Base de Données · Stack Technologique · Propositions d'Amélioration</w:t>
      </w:r>
    </w:p>
    <w:p>
      <w:pPr>
        <w:spacing w:before="400" w:after="0"/>
      </w:pPr>
      <w:r>
        <w:t xml:space="preserve"/>
      </w:r>
    </w:p>
    <w:p>
      <w:pPr>
        <w:jc w:val="center"/>
      </w:pPr>
      <w:r>
        <w:rPr>
          <w:rFonts w:ascii="Arial" w:cs="Arial" w:eastAsia="Arial" w:hAnsi="Arial"/>
          <w:color w:val="888888"/>
          <w:sz w:val="22"/>
          <w:szCs w:val="22"/>
        </w:rPr>
        <w:t xml:space="preserve">Version 1.0  —  Mars 2026</w:t>
      </w:r>
    </w:p>
    <w:p>
      <w:r>
        <w:br w:type="page"/>
      </w:r>
    </w:p>
    <w:p>
      <w:pPr>
        <w:pStyle w:val="Heading1"/>
        <w:spacing w:before="400" w:after="200"/>
      </w:pPr>
      <w:r>
        <w:rPr>
          <w:rFonts w:ascii="Arial" w:cs="Arial" w:eastAsia="Arial" w:hAnsi="Arial"/>
          <w:b/>
          <w:bCs/>
          <w:color w:val="1B4F8A"/>
          <w:sz w:val="32"/>
          <w:szCs w:val="32"/>
        </w:rPr>
        <w:t xml:space="preserve">1. Structure Détaillée de la Base de Données</w:t>
      </w:r>
    </w:p>
    <w:p>
      <w:pPr>
        <w:spacing w:before="80" w:after="80"/>
      </w:pPr>
      <w:r>
        <w:rPr>
          <w:rFonts w:ascii="Arial" w:cs="Arial" w:eastAsia="Arial" w:hAnsi="Arial"/>
          <w:color w:val="333333"/>
          <w:sz w:val="22"/>
          <w:szCs w:val="22"/>
        </w:rPr>
        <w:t xml:space="preserve">L'application repose sur une base de données relationnelle conçue autour de cinq domaines fonctionnels : identité &amp; authentification, opérations comptables, stock, fiscalité, et espace bancaire. Le principe d'immuabilité imposé par le cahier des charges est matérialisé par l'absence de DELETE sur les transactions et par une table d'audit générée par triggers.</w:t>
      </w:r>
    </w:p>
    <w:p>
      <w:pPr>
        <w:pStyle w:val="Heading2"/>
        <w:spacing w:before="300" w:after="160"/>
      </w:pPr>
      <w:r>
        <w:rPr>
          <w:rFonts w:ascii="Arial" w:cs="Arial" w:eastAsia="Arial" w:hAnsi="Arial"/>
          <w:b/>
          <w:bCs/>
          <w:color w:val="2980B9"/>
          <w:sz w:val="26"/>
          <w:szCs w:val="26"/>
        </w:rPr>
        <w:t xml:space="preserve">1.1  Table : users</w:t>
      </w:r>
    </w:p>
    <w:p>
      <w:pPr>
        <w:spacing w:before="80" w:after="80"/>
      </w:pPr>
      <w:r>
        <w:rPr>
          <w:rFonts w:ascii="Arial" w:cs="Arial" w:eastAsia="Arial" w:hAnsi="Arial"/>
          <w:sz w:val="22"/>
          <w:szCs w:val="22"/>
        </w:rPr>
        <w:t xml:space="preserve">Stocke les commerçants, les agents bancaires et les administrateurs.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rPr>
          <w:tblHeader/>
        </w:trPr>
        <w:tc>
          <w:tcPr>
            <w:tcW w:type="dxa" w:w="20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Colonne</w:t>
            </w:r>
          </w:p>
        </w:tc>
        <w:tc>
          <w:tcPr>
            <w:tcW w:type="dxa" w:w="1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Contrainte</w:t>
            </w:r>
          </w:p>
        </w:tc>
        <w:tc>
          <w:tcPr>
            <w:tcW w:type="dxa" w:w="43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id</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UUID</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PK</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Identifiant unique universel (v4)</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phone_number</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VARCHAR(20)</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UNIQUE NOT NULL</w:t>
            </w:r>
          </w:p>
        </w:tc>
        <w:tc>
          <w:tcPr>
            <w:tcW w:type="dxa" w:w="43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Numéro de téléphone — identifiant principal</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pin_hash</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VARCHAR(255)</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Hash bcrypt du code PIN (6 chiffres)</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biometric_key_ref</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VARCHAR(255)</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3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Référence clé stockée dans le keystore device</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full_name</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VARCHAR(150)</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Nom complet du commerçant</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role</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ENUM</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3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'merchant' | 'bank_agent' | 'admin'</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language_pref</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VARCHAR(10)</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DEFAULT 'fr'</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Code langue ISO 639 (fr, en, wo, bm, fon…)</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kyc_status</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ENUM</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3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'pending' | 'verified' | 'rejected'</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device_uuid</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VARCHAR(255)</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UUID du téléphone principal enregistré</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imei_hash</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VARCHAR(255)</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3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Hash de l'IMEI pour journaux d'audit</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created_at</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TIMESTAMP</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DEFAULT NOW()</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Date de création du compte</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last_login_at</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TIMESTAMP</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3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Dernière connexion enregistrée</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is_active</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BOOLEAN</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DEFAULT TRUE</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Compte actif / suspendu</w:t>
            </w:r>
          </w:p>
        </w:tc>
      </w:tr>
    </w:tbl>
    <w:p>
      <w:pPr>
        <w:spacing w:before="200" w:after="0"/>
      </w:pPr>
      <w:r>
        <w:t xml:space="preserve"/>
      </w:r>
    </w:p>
    <w:p>
      <w:pPr>
        <w:pStyle w:val="Heading2"/>
        <w:spacing w:before="300" w:after="160"/>
      </w:pPr>
      <w:r>
        <w:rPr>
          <w:rFonts w:ascii="Arial" w:cs="Arial" w:eastAsia="Arial" w:hAnsi="Arial"/>
          <w:b/>
          <w:bCs/>
          <w:color w:val="2980B9"/>
          <w:sz w:val="26"/>
          <w:szCs w:val="26"/>
        </w:rPr>
        <w:t xml:space="preserve">1.2  Table : transactions</w:t>
      </w:r>
    </w:p>
    <w:p>
      <w:pPr>
        <w:spacing w:before="80" w:after="80"/>
      </w:pPr>
      <w:r>
        <w:rPr>
          <w:rFonts w:ascii="Arial" w:cs="Arial" w:eastAsia="Arial" w:hAnsi="Arial"/>
          <w:sz w:val="22"/>
          <w:szCs w:val="22"/>
        </w:rPr>
        <w:t xml:space="preserve">Cœur du système. Aucun DELETE autorisé — les erreurs se corrigent par contre-passation (reversal_of_id).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Colonne</w:t>
            </w:r>
          </w:p>
        </w:tc>
        <w:tc>
          <w:tcPr>
            <w:tcW w:type="dxa" w:w="1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Contrainte</w:t>
            </w:r>
          </w:p>
        </w:tc>
        <w:tc>
          <w:tcPr>
            <w:tcW w:type="dxa" w:w="41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id</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UUID</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PK</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Identifiant unique de la transaction</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user_id</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UUID</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FK → users</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Commerçant propriétaire</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type</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ENUM</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'sale' | 'expense' | 'reversal' | 'stock_adjustment'</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amount</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DECIMAL(15,2)</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 CHECK ≥ 0</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Montant en devise locale (FCFA)</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currency</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CHAR(3)</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DEFAULT 'XOF'</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Code ISO 4217</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description</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TEXT</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Libellé libre de l'opération</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product_id</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UUID</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FK → products, 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Produit lié (ventes)</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quantity</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DECIMAL(10,3)</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Quantité vendue ou ajustée</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unit_price</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DECIMAL(12,2)</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Prix unitaire au moment de la vente</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reversal_of_id</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UUID</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FK → transactions, NULL</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ID de la transaction annulée</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receipt_url</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VARCHAR(512)</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URL sécurisée du justificatif (S3/GCS)</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hash_chain</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VARCHAR(64)</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SHA-256 (contenu || hash_précédent) — immuabilité</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gps_lat</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DECIMAL(9,6)</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Latitude de la saisie</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gps_lng</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DECIMAL(9,6)</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Longitude de la saisie</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synced_at</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TIMESTAMP</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Date de synchronisation offline→cloud</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created_at</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TIMESTAMP</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DEFAULT NOW()</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Date/heure de création (serveur UTC)</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created_offline_at</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TIMESTAMP</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Horodatage device (mode offline)</w:t>
            </w:r>
          </w:p>
        </w:tc>
      </w:tr>
    </w:tbl>
    <w:p>
      <w:pPr>
        <w:spacing w:before="200" w:after="0"/>
      </w:pPr>
      <w:r>
        <w:t xml:space="preserve"/>
      </w:r>
    </w:p>
    <w:p>
      <w:pPr>
        <w:pStyle w:val="Heading2"/>
        <w:spacing w:before="300" w:after="160"/>
      </w:pPr>
      <w:r>
        <w:rPr>
          <w:rFonts w:ascii="Arial" w:cs="Arial" w:eastAsia="Arial" w:hAnsi="Arial"/>
          <w:b/>
          <w:bCs/>
          <w:color w:val="2980B9"/>
          <w:sz w:val="26"/>
          <w:szCs w:val="26"/>
        </w:rPr>
        <w:t xml:space="preserve">1.3  Table :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rPr>
          <w:tblHeader/>
        </w:trPr>
        <w:tc>
          <w:tcPr>
            <w:tcW w:type="dxa" w:w="20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Colonne</w:t>
            </w:r>
          </w:p>
        </w:tc>
        <w:tc>
          <w:tcPr>
            <w:tcW w:type="dxa" w:w="1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Contrainte</w:t>
            </w:r>
          </w:p>
        </w:tc>
        <w:tc>
          <w:tcPr>
            <w:tcW w:type="dxa" w:w="43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id</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UUID</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PK</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Identifiant unique</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user_id</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UUID</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FK → users</w:t>
            </w:r>
          </w:p>
        </w:tc>
        <w:tc>
          <w:tcPr>
            <w:tcW w:type="dxa" w:w="43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Commerçant propriétaire</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name</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VARCHAR(200)</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Nom du produit</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sku</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VARCHAR(100)</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3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Code article interne</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unit</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VARCHAR(50)</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Unité (kg, pièce, litre…)</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current_stock</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DECIMAL(10,3)</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DEFAULT 0</w:t>
            </w:r>
          </w:p>
        </w:tc>
        <w:tc>
          <w:tcPr>
            <w:tcW w:type="dxa" w:w="43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Stock actuel calculé</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alert_threshold</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DECIMAL(10,3)</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DEFAULT 5</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Seuil d'alerte rupture</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cost_price</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DECIMAL(12,2)</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3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Prix de revient unitaire</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selling_price</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DECIMAL(12,2)</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Prix de vente par défaut</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is_active</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BOOLEAN</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DEFAULT TRUE</w:t>
            </w:r>
          </w:p>
        </w:tc>
        <w:tc>
          <w:tcPr>
            <w:tcW w:type="dxa" w:w="43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Produit actif</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created_at</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TIMESTAMP</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DEFAULT NOW()</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Date de création</w:t>
            </w:r>
          </w:p>
        </w:tc>
      </w:tr>
    </w:tbl>
    <w:p>
      <w:pPr>
        <w:spacing w:before="200" w:after="0"/>
      </w:pPr>
      <w:r>
        <w:t xml:space="preserve"/>
      </w:r>
    </w:p>
    <w:p>
      <w:pPr>
        <w:pStyle w:val="Heading2"/>
        <w:spacing w:before="300" w:after="160"/>
      </w:pPr>
      <w:r>
        <w:rPr>
          <w:rFonts w:ascii="Arial" w:cs="Arial" w:eastAsia="Arial" w:hAnsi="Arial"/>
          <w:b/>
          <w:bCs/>
          <w:color w:val="2980B9"/>
          <w:sz w:val="26"/>
          <w:szCs w:val="26"/>
        </w:rPr>
        <w:t xml:space="preserve">1.4  Table : audit_logs</w:t>
      </w:r>
    </w:p>
    <w:p>
      <w:pPr>
        <w:spacing w:before="80" w:after="80"/>
      </w:pPr>
      <w:r>
        <w:rPr>
          <w:rFonts w:ascii="Arial" w:cs="Arial" w:eastAsia="Arial" w:hAnsi="Arial"/>
          <w:sz w:val="22"/>
          <w:szCs w:val="22"/>
        </w:rPr>
        <w:t xml:space="preserve">Table en append-only. Aucun UPDATE ni DELETE permis — droits révoqués au niveau SGBD.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rPr>
          <w:tblHeader/>
        </w:trPr>
        <w:tc>
          <w:tcPr>
            <w:tcW w:type="dxa" w:w="20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Colonne</w:t>
            </w:r>
          </w:p>
        </w:tc>
        <w:tc>
          <w:tcPr>
            <w:tcW w:type="dxa" w:w="1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Contrainte</w:t>
            </w:r>
          </w:p>
        </w:tc>
        <w:tc>
          <w:tcPr>
            <w:tcW w:type="dxa" w:w="43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id</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UUID</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PK</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Identifiant du log</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user_id</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UUID</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FK → users, NULL</w:t>
            </w:r>
          </w:p>
        </w:tc>
        <w:tc>
          <w:tcPr>
            <w:tcW w:type="dxa" w:w="43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Acteur (null si système)</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action</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VARCHAR(100)</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Ex: LOGIN, EXPORT_BILAN, LOAN_REQUEST</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entity_type</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VARCHAR(50)</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3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Table concernée (transaction, user…)</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entity_id</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UUID</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ID de l'entité modifiée</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old_value</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JSONB</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3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État avant (snapshot JSON)</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new_value</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JSONB</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État après (snapshot JSON)</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ip_address</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VARCHAR(45)</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3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IPv4 ou IPv6</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gps_lat</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DECIMAL(9,6)</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Position GPS de l'action</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gps_lng</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DECIMAL(9,6)</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3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Position GPS de l'action</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device_uuid</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VARCHAR(255)</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UUID du device</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imei_hash</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VARCHAR(255)</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3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Hash IMEI pour preuve légale</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created_at</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TIMESTAMP</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DEFAULT NOW()</w:t>
            </w:r>
          </w:p>
        </w:tc>
        <w:tc>
          <w:tcPr>
            <w:tcW w:type="dxa" w:w="43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Horodatage serveur UTC</w:t>
            </w:r>
          </w:p>
        </w:tc>
      </w:tr>
    </w:tbl>
    <w:p>
      <w:pPr>
        <w:spacing w:before="200" w:after="0"/>
      </w:pPr>
      <w:r>
        <w:t xml:space="preserve"/>
      </w:r>
    </w:p>
    <w:p>
      <w:pPr>
        <w:pStyle w:val="Heading2"/>
        <w:spacing w:before="300" w:after="160"/>
      </w:pPr>
      <w:r>
        <w:rPr>
          <w:rFonts w:ascii="Arial" w:cs="Arial" w:eastAsia="Arial" w:hAnsi="Arial"/>
          <w:b/>
          <w:bCs/>
          <w:color w:val="2980B9"/>
          <w:sz w:val="26"/>
          <w:szCs w:val="26"/>
        </w:rPr>
        <w:t xml:space="preserve">1.5  Table : tax_rules</w:t>
      </w:r>
    </w:p>
    <w:p>
      <w:pPr>
        <w:spacing w:before="80" w:after="80"/>
      </w:pPr>
      <w:r>
        <w:rPr>
          <w:rFonts w:ascii="Arial" w:cs="Arial" w:eastAsia="Arial" w:hAnsi="Arial"/>
          <w:sz w:val="22"/>
          <w:szCs w:val="22"/>
        </w:rPr>
        <w:t xml:space="preserve">Gestion des règles fiscales par pays/exercice — mise à jour annuelle sans redéploiement 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Colonne</w:t>
            </w:r>
          </w:p>
        </w:tc>
        <w:tc>
          <w:tcPr>
            <w:tcW w:type="dxa" w:w="1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Contrainte</w:t>
            </w:r>
          </w:p>
        </w:tc>
        <w:tc>
          <w:tcPr>
            <w:tcW w:type="dxa" w:w="41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id</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UUID</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PK</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country_code</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CHAR(2)</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ISO 3166-1 alpha-2 (BJ, SN, CI…)</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fiscal_year</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SMALLINT</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Année fiscale concernée</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regime</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VARCHAR(100)</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Ex: 'Taxe Synthétique', 'Réel Simplifié'</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threshold_min</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DECIMAL(15,2)</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CA minimum du régime</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threshold_max</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DECIMAL(15,2)</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CA maximum (null = pas de plafond)</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rate</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DECIMAL(6,4)</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Taux en décimal (ex: 0.035 = 3,5%)</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flat_amount</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DECIMAL(12,2)</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DEFAULT 0</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Montant forfaitaire en plus du taux</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description</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TEXT</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Texte de la loi de finances référencée</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effective_from</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DATE</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Date d'entrée en vigueur</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effective_to</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DATE</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Date d'expiration (null = toujours valide)</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created_at</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TIMESTAMP</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DEFAULT NOW()</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
            </w:r>
          </w:p>
        </w:tc>
      </w:tr>
    </w:tbl>
    <w:p>
      <w:pPr>
        <w:spacing w:before="200" w:after="0"/>
      </w:pPr>
      <w:r>
        <w:t xml:space="preserve"/>
      </w:r>
    </w:p>
    <w:p>
      <w:pPr>
        <w:pStyle w:val="Heading2"/>
        <w:spacing w:before="300" w:after="160"/>
      </w:pPr>
      <w:r>
        <w:rPr>
          <w:rFonts w:ascii="Arial" w:cs="Arial" w:eastAsia="Arial" w:hAnsi="Arial"/>
          <w:b/>
          <w:bCs/>
          <w:color w:val="2980B9"/>
          <w:sz w:val="26"/>
          <w:szCs w:val="26"/>
        </w:rPr>
        <w:t xml:space="preserve">1.6  Tables : credit_scores &amp; loan_requests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Colonne (credit_scores)</w:t>
            </w:r>
          </w:p>
        </w:tc>
        <w:tc>
          <w:tcPr>
            <w:tcW w:type="dxa" w:w="1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Contrainte</w:t>
            </w:r>
          </w:p>
        </w:tc>
        <w:tc>
          <w:tcPr>
            <w:tcW w:type="dxa" w:w="41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id</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UUID</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PK</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user_id</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UUID</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FK → users</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Commerçant évalué</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score</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SMALLINT</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CHECK 0-1000</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Score de crédibilité (0 à 1000)</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computed_at</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TIMESTAMP</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Date du calcul</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revenue_3m</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DECIMAL(15,2)</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CA 3 derniers mois</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reversal_rate</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DECIMAL(5,4)</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Taux d'annulation (indicateur fraude)</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regularity_score</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SMALLINT</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Score de régularité des saisies</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details_json</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JSONB</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Détails complets du scoring</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bank_visible</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BOOLEAN</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DEFAULT FALSE</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Exposé aux banques partenaires</w:t>
            </w:r>
          </w:p>
        </w:tc>
      </w:tr>
    </w:tbl>
    <w:p>
      <w:pPr>
        <w:spacing w:before="160" w:after="0"/>
      </w:pPr>
      <w:r>
        <w:t xml:space="preserve"/>
      </w:r>
    </w:p>
    <w:p>
      <w:pPr>
        <w:pStyle w:val="Heading2"/>
        <w:spacing w:before="300" w:after="160"/>
      </w:pPr>
      <w:r>
        <w:rPr>
          <w:rFonts w:ascii="Arial" w:cs="Arial" w:eastAsia="Arial" w:hAnsi="Arial"/>
          <w:b/>
          <w:bCs/>
          <w:color w:val="2980B9"/>
          <w:sz w:val="26"/>
          <w:szCs w:val="26"/>
        </w:rPr>
        <w:t xml:space="preserve">1.7  Table : financial_reports</w:t>
      </w:r>
    </w:p>
    <w:p>
      <w:pPr>
        <w:spacing w:before="80" w:after="80"/>
      </w:pPr>
      <w:r>
        <w:rPr>
          <w:rFonts w:ascii="Arial" w:cs="Arial" w:eastAsia="Arial" w:hAnsi="Arial"/>
          <w:sz w:val="22"/>
          <w:szCs w:val="22"/>
        </w:rPr>
        <w:t xml:space="preserve">Stocke les bilans et journaux de caisse générés, avec leur QR code de vérification.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Colonne</w:t>
            </w:r>
          </w:p>
        </w:tc>
        <w:tc>
          <w:tcPr>
            <w:tcW w:type="dxa" w:w="1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Contrainte</w:t>
            </w:r>
          </w:p>
        </w:tc>
        <w:tc>
          <w:tcPr>
            <w:tcW w:type="dxa" w:w="41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id</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UUID</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PK</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user_id</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UUID</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FK → users</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Commerçant propriétaire</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report_type</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ENUM</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'journal_caisse' | 'compte_resultat' | 'bilan'</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period_start</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DATE</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Début de la période</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period_end</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DATE</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Fin de la période</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data_json</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JSONB</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Données chiffrées du rapport</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content_hash</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VARCHAR(64)</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NOT 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SHA-256 du contenu — anti-falsification</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qr_token</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VARCHAR(128)</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UNIQUE NOT NULL</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Token de vérification du QR code</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pdf_url</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VARCHAR(512)</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URL du fichier PDF généré</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generated_at</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TIMESTAMP</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DEFAULT NOW()</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Date de génération</w:t>
            </w:r>
          </w:p>
        </w:tc>
      </w:tr>
      <w:tr>
        <w:tc>
          <w:tcPr>
            <w:tcW w:type="dxa" w:w="2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tax_amount</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DECIMAL(15,2)</w:t>
            </w:r>
          </w:p>
        </w:tc>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Montant d'impôt calculé</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fiscal_year</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Courier New" w:cs="Courier New" w:eastAsia="Courier New" w:hAnsi="Courier New"/>
                <w:color w:val="1B4F8A"/>
                <w:sz w:val="20"/>
                <w:szCs w:val="20"/>
              </w:rPr>
              <w:t xml:space="preserve">SMALLINT</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C0392B"/>
                <w:sz w:val="20"/>
                <w:szCs w:val="20"/>
              </w:rPr>
              <w:t xml:space="preserve">NULL</w:t>
            </w:r>
          </w:p>
        </w:tc>
        <w:tc>
          <w:tcPr>
            <w:tcW w:type="dxa" w:w="4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Exercice fiscal</w:t>
            </w:r>
          </w:p>
        </w:tc>
      </w:tr>
    </w:tbl>
    <w:p>
      <w:pPr>
        <w:spacing w:before="200" w:after="0"/>
      </w:pPr>
      <w:r>
        <w:t xml:space="preserve"/>
      </w:r>
    </w:p>
    <w:p>
      <w:pPr>
        <w:pStyle w:val="Heading2"/>
        <w:spacing w:before="300" w:after="160"/>
      </w:pPr>
      <w:r>
        <w:rPr>
          <w:rFonts w:ascii="Arial" w:cs="Arial" w:eastAsia="Arial" w:hAnsi="Arial"/>
          <w:b/>
          <w:bCs/>
          <w:color w:val="2980B9"/>
          <w:sz w:val="26"/>
          <w:szCs w:val="26"/>
        </w:rPr>
        <w:t xml:space="preserve">1.8  Diagramme des relations (synthèse textuelle)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600"/>
        <w:gridCol w:w="3600"/>
        <w:gridCol w:w="1560"/>
      </w:tblGrid>
      <w:tr>
        <w:trPr>
          <w:tblHeader/>
        </w:trPr>
        <w:tc>
          <w:tcPr>
            <w:tcW w:type="dxa" w:w="3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Table source</w:t>
            </w:r>
          </w:p>
        </w:tc>
        <w:tc>
          <w:tcPr>
            <w:tcW w:type="dxa" w:w="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3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Table cible</w:t>
            </w:r>
          </w:p>
        </w:tc>
        <w:tc>
          <w:tcPr>
            <w:tcW w:type="dxa" w:w="15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Cardinalité</w:t>
            </w:r>
          </w:p>
        </w:tc>
      </w:tr>
      <w:tr>
        <w:tc>
          <w:tcPr>
            <w:tcW w:type="dxa" w:w="3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users</w:t>
            </w:r>
          </w:p>
        </w:tc>
        <w:tc>
          <w:tcPr>
            <w:tcW w:type="dxa" w:w="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2980B9"/>
                <w:sz w:val="20"/>
                <w:szCs w:val="20"/>
              </w:rPr>
              <w:t xml:space="preserve">→</w:t>
            </w:r>
          </w:p>
        </w:tc>
        <w:tc>
          <w:tcPr>
            <w:tcW w:type="dxa" w:w="3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transactions</w:t>
            </w:r>
          </w:p>
        </w:tc>
        <w:tc>
          <w:tcPr>
            <w:tcW w:type="dxa" w:w="15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E8449"/>
                <w:sz w:val="20"/>
                <w:szCs w:val="20"/>
              </w:rPr>
              <w:t xml:space="preserve">1  ···  N</w:t>
            </w:r>
          </w:p>
        </w:tc>
      </w:tr>
      <w:tr>
        <w:tc>
          <w:tcPr>
            <w:tcW w:type="dxa" w:w="3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users</w:t>
            </w:r>
          </w:p>
        </w:tc>
        <w:tc>
          <w:tcPr>
            <w:tcW w:type="dxa" w:w="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2980B9"/>
                <w:sz w:val="20"/>
                <w:szCs w:val="20"/>
              </w:rPr>
              <w:t xml:space="preserve">→</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products</w:t>
            </w:r>
          </w:p>
        </w:tc>
        <w:tc>
          <w:tcPr>
            <w:tcW w:type="dxa" w:w="15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E8449"/>
                <w:sz w:val="20"/>
                <w:szCs w:val="20"/>
              </w:rPr>
              <w:t xml:space="preserve">1  ···  N</w:t>
            </w:r>
          </w:p>
        </w:tc>
      </w:tr>
      <w:tr>
        <w:tc>
          <w:tcPr>
            <w:tcW w:type="dxa" w:w="3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users</w:t>
            </w:r>
          </w:p>
        </w:tc>
        <w:tc>
          <w:tcPr>
            <w:tcW w:type="dxa" w:w="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2980B9"/>
                <w:sz w:val="20"/>
                <w:szCs w:val="20"/>
              </w:rPr>
              <w:t xml:space="preserve">→</w:t>
            </w:r>
          </w:p>
        </w:tc>
        <w:tc>
          <w:tcPr>
            <w:tcW w:type="dxa" w:w="3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credit_scores</w:t>
            </w:r>
          </w:p>
        </w:tc>
        <w:tc>
          <w:tcPr>
            <w:tcW w:type="dxa" w:w="15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E8449"/>
                <w:sz w:val="20"/>
                <w:szCs w:val="20"/>
              </w:rPr>
              <w:t xml:space="preserve">1  ···  N</w:t>
            </w:r>
          </w:p>
        </w:tc>
      </w:tr>
      <w:tr>
        <w:tc>
          <w:tcPr>
            <w:tcW w:type="dxa" w:w="3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users</w:t>
            </w:r>
          </w:p>
        </w:tc>
        <w:tc>
          <w:tcPr>
            <w:tcW w:type="dxa" w:w="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2980B9"/>
                <w:sz w:val="20"/>
                <w:szCs w:val="20"/>
              </w:rPr>
              <w:t xml:space="preserve">→</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financial_reports</w:t>
            </w:r>
          </w:p>
        </w:tc>
        <w:tc>
          <w:tcPr>
            <w:tcW w:type="dxa" w:w="15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E8449"/>
                <w:sz w:val="20"/>
                <w:szCs w:val="20"/>
              </w:rPr>
              <w:t xml:space="preserve">1  ···  N</w:t>
            </w:r>
          </w:p>
        </w:tc>
      </w:tr>
      <w:tr>
        <w:tc>
          <w:tcPr>
            <w:tcW w:type="dxa" w:w="3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users</w:t>
            </w:r>
          </w:p>
        </w:tc>
        <w:tc>
          <w:tcPr>
            <w:tcW w:type="dxa" w:w="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2980B9"/>
                <w:sz w:val="20"/>
                <w:szCs w:val="20"/>
              </w:rPr>
              <w:t xml:space="preserve">→</w:t>
            </w:r>
          </w:p>
        </w:tc>
        <w:tc>
          <w:tcPr>
            <w:tcW w:type="dxa" w:w="3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audit_logs</w:t>
            </w:r>
          </w:p>
        </w:tc>
        <w:tc>
          <w:tcPr>
            <w:tcW w:type="dxa" w:w="15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E8449"/>
                <w:sz w:val="20"/>
                <w:szCs w:val="20"/>
              </w:rPr>
              <w:t xml:space="preserve">1  ···  N</w:t>
            </w:r>
          </w:p>
        </w:tc>
      </w:tr>
      <w:tr>
        <w:tc>
          <w:tcPr>
            <w:tcW w:type="dxa" w:w="3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transactions</w:t>
            </w:r>
          </w:p>
        </w:tc>
        <w:tc>
          <w:tcPr>
            <w:tcW w:type="dxa" w:w="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2980B9"/>
                <w:sz w:val="20"/>
                <w:szCs w:val="20"/>
              </w:rPr>
              <w:t xml:space="preserve">→</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transactions (reversal)</w:t>
            </w:r>
          </w:p>
        </w:tc>
        <w:tc>
          <w:tcPr>
            <w:tcW w:type="dxa" w:w="15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E8449"/>
                <w:sz w:val="20"/>
                <w:szCs w:val="20"/>
              </w:rPr>
              <w:t xml:space="preserve">1  ···  0..1</w:t>
            </w:r>
          </w:p>
        </w:tc>
      </w:tr>
      <w:tr>
        <w:tc>
          <w:tcPr>
            <w:tcW w:type="dxa" w:w="3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transactions</w:t>
            </w:r>
          </w:p>
        </w:tc>
        <w:tc>
          <w:tcPr>
            <w:tcW w:type="dxa" w:w="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2980B9"/>
                <w:sz w:val="20"/>
                <w:szCs w:val="20"/>
              </w:rPr>
              <w:t xml:space="preserve">→</w:t>
            </w:r>
          </w:p>
        </w:tc>
        <w:tc>
          <w:tcPr>
            <w:tcW w:type="dxa" w:w="3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products</w:t>
            </w:r>
          </w:p>
        </w:tc>
        <w:tc>
          <w:tcPr>
            <w:tcW w:type="dxa" w:w="15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E8449"/>
                <w:sz w:val="20"/>
                <w:szCs w:val="20"/>
              </w:rPr>
              <w:t xml:space="preserve">N  ···  1</w:t>
            </w:r>
          </w:p>
        </w:tc>
      </w:tr>
      <w:tr>
        <w:tc>
          <w:tcPr>
            <w:tcW w:type="dxa" w:w="3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tax_rules</w:t>
            </w:r>
          </w:p>
        </w:tc>
        <w:tc>
          <w:tcPr>
            <w:tcW w:type="dxa" w:w="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2980B9"/>
                <w:sz w:val="20"/>
                <w:szCs w:val="20"/>
              </w:rPr>
              <w:t xml:space="preserve">→</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(moteur de calcul)</w:t>
            </w:r>
          </w:p>
        </w:tc>
        <w:tc>
          <w:tcPr>
            <w:tcW w:type="dxa" w:w="15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E8449"/>
                <w:sz w:val="20"/>
                <w:szCs w:val="20"/>
              </w:rPr>
              <w:t xml:space="preserve">référence métier</w:t>
            </w:r>
          </w:p>
        </w:tc>
      </w:tr>
      <w:tr>
        <w:tc>
          <w:tcPr>
            <w:tcW w:type="dxa" w:w="3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financial_reports</w:t>
            </w:r>
          </w:p>
        </w:tc>
        <w:tc>
          <w:tcPr>
            <w:tcW w:type="dxa" w:w="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2980B9"/>
                <w:sz w:val="20"/>
                <w:szCs w:val="20"/>
              </w:rPr>
              <w:t xml:space="preserve">→</w:t>
            </w:r>
          </w:p>
        </w:tc>
        <w:tc>
          <w:tcPr>
            <w:tcW w:type="dxa" w:w="3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transactions (agrégat)</w:t>
            </w:r>
          </w:p>
        </w:tc>
        <w:tc>
          <w:tcPr>
            <w:tcW w:type="dxa" w:w="15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E8449"/>
                <w:sz w:val="20"/>
                <w:szCs w:val="20"/>
              </w:rPr>
              <w:t xml:space="preserve">période</w:t>
            </w:r>
          </w:p>
        </w:tc>
      </w:tr>
    </w:tbl>
    <w:p>
      <w:r>
        <w:br w:type="page"/>
      </w:r>
    </w:p>
    <w:p>
      <w:pPr>
        <w:pStyle w:val="Heading1"/>
        <w:spacing w:before="400" w:after="200"/>
      </w:pPr>
      <w:r>
        <w:rPr>
          <w:rFonts w:ascii="Arial" w:cs="Arial" w:eastAsia="Arial" w:hAnsi="Arial"/>
          <w:b/>
          <w:bCs/>
          <w:color w:val="1B4F8A"/>
          <w:sz w:val="32"/>
          <w:szCs w:val="32"/>
        </w:rPr>
        <w:t xml:space="preserve">2. Stack Technologique Proposé</w:t>
      </w:r>
    </w:p>
    <w:p>
      <w:pPr>
        <w:spacing w:before="80" w:after="80"/>
      </w:pPr>
      <w:r>
        <w:rPr>
          <w:rFonts w:ascii="Arial" w:cs="Arial" w:eastAsia="Arial" w:hAnsi="Arial"/>
          <w:sz w:val="22"/>
          <w:szCs w:val="22"/>
        </w:rPr>
        <w:t xml:space="preserve">Le stack est sélectionné pour maximiser la rapidité de développement MVP, la robustesse offline, et la capacité à opérer dans des environnements africains à connectivité variable.</w:t>
      </w:r>
    </w:p>
    <w:p>
      <w:pPr>
        <w:spacing w:before="80" w:after="0"/>
      </w:pPr>
      <w:r>
        <w:t xml:space="preserve"/>
      </w:r>
    </w:p>
    <w:p>
      <w:pPr>
        <w:pStyle w:val="Heading2"/>
        <w:spacing w:before="300" w:after="160"/>
      </w:pPr>
      <w:r>
        <w:rPr>
          <w:rFonts w:ascii="Arial" w:cs="Arial" w:eastAsia="Arial" w:hAnsi="Arial"/>
          <w:b/>
          <w:bCs/>
          <w:color w:val="2980B9"/>
          <w:sz w:val="26"/>
          <w:szCs w:val="26"/>
        </w:rPr>
        <w:t xml:space="preserve">2.1  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Couche</w:t>
            </w:r>
          </w:p>
        </w:tc>
        <w:tc>
          <w:tcPr>
            <w:tcW w:type="dxa" w:w="28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Technologie</w:t>
            </w:r>
          </w:p>
        </w:tc>
        <w:tc>
          <w:tcPr>
            <w:tcW w:type="dxa" w:w="28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Justification</w:t>
            </w:r>
          </w:p>
        </w:tc>
        <w:tc>
          <w:tcPr>
            <w:tcW w:type="dxa" w:w="17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Maturité</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Application Mobile</w:t>
            </w:r>
          </w:p>
        </w:tc>
        <w:tc>
          <w:tcPr>
            <w:tcW w:type="dxa" w:w="28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2980B9"/>
                <w:sz w:val="20"/>
                <w:szCs w:val="20"/>
              </w:rPr>
              <w:t xml:space="preserve">Flutter (Dart)</w:t>
            </w:r>
          </w:p>
        </w:tc>
        <w:tc>
          <w:tcPr>
            <w:tcW w:type="dxa" w:w="28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Un code → Android + iOS. Excellent support offline + SQLite</w:t>
            </w:r>
          </w:p>
        </w:tc>
        <w:tc>
          <w:tcPr>
            <w:tcW w:type="dxa" w:w="17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1E8449"/>
                <w:sz w:val="20"/>
                <w:szCs w:val="20"/>
              </w:rPr>
              <w:t xml:space="preserve">★★★★★</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Backend API</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2980B9"/>
                <w:sz w:val="20"/>
                <w:szCs w:val="20"/>
              </w:rPr>
              <w:t xml:space="preserve">Node.js + Fastify</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Performances élevées, ecosystème riche, JSON natif</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1E8449"/>
                <w:sz w:val="20"/>
                <w:szCs w:val="20"/>
              </w:rPr>
              <w:t xml:space="preserve">★★★★★</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Base de données</w:t>
            </w:r>
          </w:p>
        </w:tc>
        <w:tc>
          <w:tcPr>
            <w:tcW w:type="dxa" w:w="28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2980B9"/>
                <w:sz w:val="20"/>
                <w:szCs w:val="20"/>
              </w:rPr>
              <w:t xml:space="preserve">PostgreSQL 16</w:t>
            </w:r>
          </w:p>
        </w:tc>
        <w:tc>
          <w:tcPr>
            <w:tcW w:type="dxa" w:w="28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JSONB, triggers, Row-Level Security, audit natif</w:t>
            </w:r>
          </w:p>
        </w:tc>
        <w:tc>
          <w:tcPr>
            <w:tcW w:type="dxa" w:w="17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1E8449"/>
                <w:sz w:val="20"/>
                <w:szCs w:val="20"/>
              </w:rPr>
              <w:t xml:space="preserve">★★★★★</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Cache &amp; Queue</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2980B9"/>
                <w:sz w:val="20"/>
                <w:szCs w:val="20"/>
              </w:rPr>
              <w:t xml:space="preserve">Redis 7</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Sessions, rate-limiting, files de synchro offline</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1E8449"/>
                <w:sz w:val="20"/>
                <w:szCs w:val="20"/>
              </w:rPr>
              <w:t xml:space="preserve">★★★★★</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Stockage fichiers</w:t>
            </w:r>
          </w:p>
        </w:tc>
        <w:tc>
          <w:tcPr>
            <w:tcW w:type="dxa" w:w="28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2980B9"/>
                <w:sz w:val="20"/>
                <w:szCs w:val="20"/>
              </w:rPr>
              <w:t xml:space="preserve">Cloudflare R2 / AWS S3</w:t>
            </w:r>
          </w:p>
        </w:tc>
        <w:tc>
          <w:tcPr>
            <w:tcW w:type="dxa" w:w="28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Receipts, PDFs — compatible API S3, coût minimal</w:t>
            </w:r>
          </w:p>
        </w:tc>
        <w:tc>
          <w:tcPr>
            <w:tcW w:type="dxa" w:w="17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1E8449"/>
                <w:sz w:val="20"/>
                <w:szCs w:val="20"/>
              </w:rPr>
              <w:t xml:space="preserve">★★★★☆</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Génération PDF</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2980B9"/>
                <w:sz w:val="20"/>
                <w:szCs w:val="20"/>
              </w:rPr>
              <w:t xml:space="preserve">Puppeteer / WeasyPrint</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Bilans et QR code — rendu HTML → PDF certifié</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1E8449"/>
                <w:sz w:val="20"/>
                <w:szCs w:val="20"/>
              </w:rPr>
              <w:t xml:space="preserve">★★★★☆</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Auth</w:t>
            </w:r>
          </w:p>
        </w:tc>
        <w:tc>
          <w:tcPr>
            <w:tcW w:type="dxa" w:w="28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2980B9"/>
                <w:sz w:val="20"/>
                <w:szCs w:val="20"/>
              </w:rPr>
              <w:t xml:space="preserve">JWT + bcrypt + TOTP</w:t>
            </w:r>
          </w:p>
        </w:tc>
        <w:tc>
          <w:tcPr>
            <w:tcW w:type="dxa" w:w="28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PIN hash + biométrie (Flutter local_auth)</w:t>
            </w:r>
          </w:p>
        </w:tc>
        <w:tc>
          <w:tcPr>
            <w:tcW w:type="dxa" w:w="17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1E8449"/>
                <w:sz w:val="20"/>
                <w:szCs w:val="20"/>
              </w:rPr>
              <w:t xml:space="preserve">★★★★★</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Dashboard Web</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2980B9"/>
                <w:sz w:val="20"/>
                <w:szCs w:val="20"/>
              </w:rPr>
              <w:t xml:space="preserve">Next.js (React)</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SSR pour banques &amp; admins, excellent SEO</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1E8449"/>
                <w:sz w:val="20"/>
                <w:szCs w:val="20"/>
              </w:rPr>
              <w:t xml:space="preserve">★★★★★</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ORM</w:t>
            </w:r>
          </w:p>
        </w:tc>
        <w:tc>
          <w:tcPr>
            <w:tcW w:type="dxa" w:w="28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2980B9"/>
                <w:sz w:val="20"/>
                <w:szCs w:val="20"/>
              </w:rPr>
              <w:t xml:space="preserve">Prisma</w:t>
            </w:r>
          </w:p>
        </w:tc>
        <w:tc>
          <w:tcPr>
            <w:tcW w:type="dxa" w:w="28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Type-safe, migrations versionnées, PostgreSQL natif</w:t>
            </w:r>
          </w:p>
        </w:tc>
        <w:tc>
          <w:tcPr>
            <w:tcW w:type="dxa" w:w="17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1E8449"/>
                <w:sz w:val="20"/>
                <w:szCs w:val="20"/>
              </w:rPr>
              <w:t xml:space="preserve">★★★★☆</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Infra / CI-CD</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2980B9"/>
                <w:sz w:val="20"/>
                <w:szCs w:val="20"/>
              </w:rPr>
              <w:t xml:space="preserve">Docker + GitHub Actions</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Portabilité maximale, déploiement VPS ou cloud</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1E8449"/>
                <w:sz w:val="20"/>
                <w:szCs w:val="20"/>
              </w:rPr>
              <w:t xml:space="preserve">★★★★★</w:t>
            </w:r>
          </w:p>
        </w:tc>
      </w:tr>
      <w:tr>
        <w:tc>
          <w:tcPr>
            <w:tcW w:type="dxa" w:w="20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Hébergement</w:t>
            </w:r>
          </w:p>
        </w:tc>
        <w:tc>
          <w:tcPr>
            <w:tcW w:type="dxa" w:w="28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2980B9"/>
                <w:sz w:val="20"/>
                <w:szCs w:val="20"/>
              </w:rPr>
              <w:t xml:space="preserve">Contabo VPS ou Scaleway</w:t>
            </w:r>
          </w:p>
        </w:tc>
        <w:tc>
          <w:tcPr>
            <w:tcW w:type="dxa" w:w="28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Serveurs EU/Afrique, RGPD, coût maîtrisé (MVP)</w:t>
            </w:r>
          </w:p>
        </w:tc>
        <w:tc>
          <w:tcPr>
            <w:tcW w:type="dxa" w:w="17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1E8449"/>
                <w:sz w:val="20"/>
                <w:szCs w:val="20"/>
              </w:rPr>
              <w:t xml:space="preserve">★★★★☆</w:t>
            </w:r>
          </w:p>
        </w:tc>
      </w:tr>
    </w:tbl>
    <w:p>
      <w:pPr>
        <w:spacing w:before="200" w:after="0"/>
      </w:pPr>
      <w:r>
        <w:t xml:space="preserve"/>
      </w:r>
    </w:p>
    <w:p>
      <w:pPr>
        <w:pStyle w:val="Heading2"/>
        <w:spacing w:before="300" w:after="160"/>
      </w:pPr>
      <w:r>
        <w:rPr>
          <w:rFonts w:ascii="Arial" w:cs="Arial" w:eastAsia="Arial" w:hAnsi="Arial"/>
          <w:b/>
          <w:bCs/>
          <w:color w:val="2980B9"/>
          <w:sz w:val="26"/>
          <w:szCs w:val="26"/>
        </w:rPr>
        <w:t xml:space="preserve">2.2  Architecture des services (détail)</w:t>
      </w:r>
    </w:p>
    <w:p>
      <w:pPr>
        <w:pStyle w:val="Heading3"/>
        <w:spacing w:before="200" w:after="120"/>
      </w:pPr>
      <w:r>
        <w:rPr>
          <w:rFonts w:ascii="Arial" w:cs="Arial" w:eastAsia="Arial" w:hAnsi="Arial"/>
          <w:b/>
          <w:bCs/>
          <w:color w:val="1B4F8A"/>
          <w:sz w:val="22"/>
          <w:szCs w:val="22"/>
        </w:rPr>
        <w:t xml:space="preserve">Couche Mobile (Flutter)</w:t>
      </w:r>
    </w:p>
    <w:p>
      <w:pPr>
        <w:pStyle w:val="ListParagraph"/>
        <w:numPr>
          <w:ilvl w:val="0"/>
          <w:numId w:val="2"/>
        </w:numPr>
        <w:spacing w:before="60" w:after="60"/>
      </w:pPr>
      <w:r>
        <w:rPr>
          <w:rFonts w:ascii="Arial" w:cs="Arial" w:eastAsia="Arial" w:hAnsi="Arial"/>
          <w:sz w:val="22"/>
          <w:szCs w:val="22"/>
        </w:rPr>
        <w:t xml:space="preserve">SQLite local via Drift (ORM Dart) → base locale offline-first</w:t>
      </w:r>
    </w:p>
    <w:p>
      <w:pPr>
        <w:pStyle w:val="ListParagraph"/>
        <w:numPr>
          <w:ilvl w:val="0"/>
          <w:numId w:val="2"/>
        </w:numPr>
        <w:spacing w:before="60" w:after="60"/>
      </w:pPr>
      <w:r>
        <w:rPr>
          <w:rFonts w:ascii="Arial" w:cs="Arial" w:eastAsia="Arial" w:hAnsi="Arial"/>
          <w:sz w:val="22"/>
          <w:szCs w:val="22"/>
        </w:rPr>
        <w:t xml:space="preserve">Synchronisation automatique via WebSocket ou HTTP polling dès reconnexion</w:t>
      </w:r>
    </w:p>
    <w:p>
      <w:pPr>
        <w:pStyle w:val="ListParagraph"/>
        <w:numPr>
          <w:ilvl w:val="0"/>
          <w:numId w:val="2"/>
        </w:numPr>
        <w:spacing w:before="60" w:after="60"/>
      </w:pPr>
      <w:r>
        <w:rPr>
          <w:rFonts w:ascii="Arial" w:cs="Arial" w:eastAsia="Arial" w:hAnsi="Arial"/>
          <w:sz w:val="22"/>
          <w:szCs w:val="22"/>
        </w:rPr>
        <w:t xml:space="preserve">Flutter Secure Storage pour PIN hash et clés biométriques</w:t>
      </w:r>
    </w:p>
    <w:p>
      <w:pPr>
        <w:pStyle w:val="ListParagraph"/>
        <w:numPr>
          <w:ilvl w:val="0"/>
          <w:numId w:val="2"/>
        </w:numPr>
        <w:spacing w:before="60" w:after="60"/>
      </w:pPr>
      <w:r>
        <w:rPr>
          <w:rFonts w:ascii="Arial" w:cs="Arial" w:eastAsia="Arial" w:hAnsi="Arial"/>
          <w:sz w:val="22"/>
          <w:szCs w:val="22"/>
        </w:rPr>
        <w:t xml:space="preserve">flutter_localizations + ARB files pour le multi-langues (fr, en, wo, fon, bm, ha)</w:t>
      </w:r>
    </w:p>
    <w:p>
      <w:pPr>
        <w:pStyle w:val="ListParagraph"/>
        <w:numPr>
          <w:ilvl w:val="0"/>
          <w:numId w:val="2"/>
        </w:numPr>
        <w:spacing w:before="60" w:after="60"/>
      </w:pPr>
      <w:r>
        <w:rPr>
          <w:rFonts w:ascii="Arial" w:cs="Arial" w:eastAsia="Arial" w:hAnsi="Arial"/>
          <w:sz w:val="22"/>
          <w:szCs w:val="22"/>
        </w:rPr>
        <w:t xml:space="preserve">Saisie vocale : speech_to_text package (Google ML Kit offline)</w:t>
      </w:r>
    </w:p>
    <w:p>
      <w:pPr>
        <w:pStyle w:val="ListParagraph"/>
        <w:numPr>
          <w:ilvl w:val="0"/>
          <w:numId w:val="2"/>
        </w:numPr>
        <w:spacing w:before="60" w:after="60"/>
      </w:pPr>
      <w:r>
        <w:rPr>
          <w:rFonts w:ascii="Arial" w:cs="Arial" w:eastAsia="Arial" w:hAnsi="Arial"/>
          <w:sz w:val="22"/>
          <w:szCs w:val="22"/>
        </w:rPr>
        <w:t xml:space="preserve">Notifications push : Firebase Cloud Messaging (alertes stock, rappels fiscaux)</w:t>
      </w:r>
    </w:p>
    <w:p>
      <w:pPr>
        <w:spacing w:before="80" w:after="0"/>
      </w:pPr>
      <w:r>
        <w:t xml:space="preserve"/>
      </w:r>
    </w:p>
    <w:p>
      <w:pPr>
        <w:pStyle w:val="Heading3"/>
        <w:spacing w:before="200" w:after="120"/>
      </w:pPr>
      <w:r>
        <w:rPr>
          <w:rFonts w:ascii="Arial" w:cs="Arial" w:eastAsia="Arial" w:hAnsi="Arial"/>
          <w:b/>
          <w:bCs/>
          <w:color w:val="1B4F8A"/>
          <w:sz w:val="22"/>
          <w:szCs w:val="22"/>
        </w:rPr>
        <w:t xml:space="preserve">Couche Backend (Node.js / Fastify)</w:t>
      </w:r>
    </w:p>
    <w:p>
      <w:pPr>
        <w:pStyle w:val="ListParagraph"/>
        <w:numPr>
          <w:ilvl w:val="0"/>
          <w:numId w:val="2"/>
        </w:numPr>
        <w:spacing w:before="60" w:after="60"/>
      </w:pPr>
      <w:r>
        <w:rPr>
          <w:rFonts w:ascii="Arial" w:cs="Arial" w:eastAsia="Arial" w:hAnsi="Arial"/>
          <w:sz w:val="22"/>
          <w:szCs w:val="22"/>
        </w:rPr>
        <w:t xml:space="preserve">API RESTful versionnée /api/v1/ — authentification JWT RS256</w:t>
      </w:r>
    </w:p>
    <w:p>
      <w:pPr>
        <w:pStyle w:val="ListParagraph"/>
        <w:numPr>
          <w:ilvl w:val="0"/>
          <w:numId w:val="2"/>
        </w:numPr>
        <w:spacing w:before="60" w:after="60"/>
      </w:pPr>
      <w:r>
        <w:rPr>
          <w:rFonts w:ascii="Arial" w:cs="Arial" w:eastAsia="Arial" w:hAnsi="Arial"/>
          <w:sz w:val="22"/>
          <w:szCs w:val="22"/>
        </w:rPr>
        <w:t xml:space="preserve">Module Sync : endpoint POST /sync reçoit les transactions offline, déduplique par UUID</w:t>
      </w:r>
    </w:p>
    <w:p>
      <w:pPr>
        <w:pStyle w:val="ListParagraph"/>
        <w:numPr>
          <w:ilvl w:val="0"/>
          <w:numId w:val="2"/>
        </w:numPr>
        <w:spacing w:before="60" w:after="60"/>
      </w:pPr>
      <w:r>
        <w:rPr>
          <w:rFonts w:ascii="Arial" w:cs="Arial" w:eastAsia="Arial" w:hAnsi="Arial"/>
          <w:sz w:val="22"/>
          <w:szCs w:val="22"/>
        </w:rPr>
        <w:t xml:space="preserve">Module Fiscal : service stateless qui lit tax_rules et calcule l'impôt à la volée</w:t>
      </w:r>
    </w:p>
    <w:p>
      <w:pPr>
        <w:pStyle w:val="ListParagraph"/>
        <w:numPr>
          <w:ilvl w:val="0"/>
          <w:numId w:val="2"/>
        </w:numPr>
        <w:spacing w:before="60" w:after="60"/>
      </w:pPr>
      <w:r>
        <w:rPr>
          <w:rFonts w:ascii="Arial" w:cs="Arial" w:eastAsia="Arial" w:hAnsi="Arial"/>
          <w:sz w:val="22"/>
          <w:szCs w:val="22"/>
        </w:rPr>
        <w:t xml:space="preserve">Module Score : cron job quotidien → recalcul credit_scores, écriture en BDD</w:t>
      </w:r>
    </w:p>
    <w:p>
      <w:pPr>
        <w:pStyle w:val="ListParagraph"/>
        <w:numPr>
          <w:ilvl w:val="0"/>
          <w:numId w:val="2"/>
        </w:numPr>
        <w:spacing w:before="60" w:after="60"/>
      </w:pPr>
      <w:r>
        <w:rPr>
          <w:rFonts w:ascii="Arial" w:cs="Arial" w:eastAsia="Arial" w:hAnsi="Arial"/>
          <w:sz w:val="22"/>
          <w:szCs w:val="22"/>
        </w:rPr>
        <w:t xml:space="preserve">Module QR : génération d'un token signé HMAC-SHA256, stocké dans financial_reports</w:t>
      </w:r>
    </w:p>
    <w:p>
      <w:pPr>
        <w:pStyle w:val="ListParagraph"/>
        <w:numPr>
          <w:ilvl w:val="0"/>
          <w:numId w:val="2"/>
        </w:numPr>
        <w:spacing w:before="60" w:after="60"/>
      </w:pPr>
      <w:r>
        <w:rPr>
          <w:rFonts w:ascii="Arial" w:cs="Arial" w:eastAsia="Arial" w:hAnsi="Arial"/>
          <w:sz w:val="22"/>
          <w:szCs w:val="22"/>
        </w:rPr>
        <w:t xml:space="preserve">Webhooks sortants → notification banques partenaires (consentement requis)</w:t>
      </w:r>
    </w:p>
    <w:p>
      <w:pPr>
        <w:spacing w:before="80" w:after="0"/>
      </w:pPr>
      <w:r>
        <w:t xml:space="preserve"/>
      </w:r>
    </w:p>
    <w:p>
      <w:pPr>
        <w:pStyle w:val="Heading3"/>
        <w:spacing w:before="200" w:after="120"/>
      </w:pPr>
      <w:r>
        <w:rPr>
          <w:rFonts w:ascii="Arial" w:cs="Arial" w:eastAsia="Arial" w:hAnsi="Arial"/>
          <w:b/>
          <w:bCs/>
          <w:color w:val="1B4F8A"/>
          <w:sz w:val="22"/>
          <w:szCs w:val="22"/>
        </w:rPr>
        <w:t xml:space="preserve">Couche Données (PostgreSQL)</w:t>
      </w:r>
    </w:p>
    <w:p>
      <w:pPr>
        <w:pStyle w:val="ListParagraph"/>
        <w:numPr>
          <w:ilvl w:val="0"/>
          <w:numId w:val="2"/>
        </w:numPr>
        <w:spacing w:before="60" w:after="60"/>
      </w:pPr>
      <w:r>
        <w:rPr>
          <w:rFonts w:ascii="Arial" w:cs="Arial" w:eastAsia="Arial" w:hAnsi="Arial"/>
          <w:sz w:val="22"/>
          <w:szCs w:val="22"/>
        </w:rPr>
        <w:t xml:space="preserve">Row-Level Security (RLS) : un commerçant ne peut lire que ses propres lignes</w:t>
      </w:r>
    </w:p>
    <w:p>
      <w:pPr>
        <w:pStyle w:val="ListParagraph"/>
        <w:numPr>
          <w:ilvl w:val="0"/>
          <w:numId w:val="2"/>
        </w:numPr>
        <w:spacing w:before="60" w:after="60"/>
      </w:pPr>
      <w:r>
        <w:rPr>
          <w:rFonts w:ascii="Arial" w:cs="Arial" w:eastAsia="Arial" w:hAnsi="Arial"/>
          <w:sz w:val="22"/>
          <w:szCs w:val="22"/>
        </w:rPr>
        <w:t xml:space="preserve">Trigger audit : toute écriture sur transactions → insert auto dans audit_logs</w:t>
      </w:r>
    </w:p>
    <w:p>
      <w:pPr>
        <w:pStyle w:val="ListParagraph"/>
        <w:numPr>
          <w:ilvl w:val="0"/>
          <w:numId w:val="2"/>
        </w:numPr>
        <w:spacing w:before="60" w:after="60"/>
      </w:pPr>
      <w:r>
        <w:rPr>
          <w:rFonts w:ascii="Arial" w:cs="Arial" w:eastAsia="Arial" w:hAnsi="Arial"/>
          <w:sz w:val="22"/>
          <w:szCs w:val="22"/>
        </w:rPr>
        <w:t xml:space="preserve">Politique NO DELETE sur transactions via règle PostgreSQL</w:t>
      </w:r>
    </w:p>
    <w:p>
      <w:pPr>
        <w:pStyle w:val="ListParagraph"/>
        <w:numPr>
          <w:ilvl w:val="0"/>
          <w:numId w:val="2"/>
        </w:numPr>
        <w:spacing w:before="60" w:after="60"/>
      </w:pPr>
      <w:r>
        <w:rPr>
          <w:rFonts w:ascii="Arial" w:cs="Arial" w:eastAsia="Arial" w:hAnsi="Arial"/>
          <w:sz w:val="22"/>
          <w:szCs w:val="22"/>
        </w:rPr>
        <w:t xml:space="preserve">Partitionnement par range sur created_at (transactions) dès 1M+ lignes</w:t>
      </w:r>
    </w:p>
    <w:p>
      <w:pPr>
        <w:pStyle w:val="ListParagraph"/>
        <w:numPr>
          <w:ilvl w:val="0"/>
          <w:numId w:val="2"/>
        </w:numPr>
        <w:spacing w:before="60" w:after="60"/>
      </w:pPr>
      <w:r>
        <w:rPr>
          <w:rFonts w:ascii="Arial" w:cs="Arial" w:eastAsia="Arial" w:hAnsi="Arial"/>
          <w:sz w:val="22"/>
          <w:szCs w:val="22"/>
        </w:rPr>
        <w:t xml:space="preserve">Chiffrement at-rest : pg_crypto pour colonnes sensibles (solde, score)</w:t>
      </w:r>
    </w:p>
    <w:p>
      <w:pPr>
        <w:pStyle w:val="ListParagraph"/>
        <w:numPr>
          <w:ilvl w:val="0"/>
          <w:numId w:val="2"/>
        </w:numPr>
        <w:spacing w:before="60" w:after="60"/>
      </w:pPr>
      <w:r>
        <w:rPr>
          <w:rFonts w:ascii="Arial" w:cs="Arial" w:eastAsia="Arial" w:hAnsi="Arial"/>
          <w:sz w:val="22"/>
          <w:szCs w:val="22"/>
        </w:rPr>
        <w:t xml:space="preserve">Backup quotidien automatisé → S3/R2 chiffré AES-256</w:t>
      </w:r>
    </w:p>
    <w:p>
      <w:r>
        <w:br w:type="page"/>
      </w:r>
    </w:p>
    <w:p>
      <w:pPr>
        <w:pStyle w:val="Heading1"/>
        <w:spacing w:before="400" w:after="200"/>
      </w:pPr>
      <w:r>
        <w:rPr>
          <w:rFonts w:ascii="Arial" w:cs="Arial" w:eastAsia="Arial" w:hAnsi="Arial"/>
          <w:b/>
          <w:bCs/>
          <w:color w:val="1B4F8A"/>
          <w:sz w:val="32"/>
          <w:szCs w:val="32"/>
        </w:rPr>
        <w:t xml:space="preserve">3. Propositions et Points à Reconsidérer</w:t>
      </w:r>
    </w:p>
    <w:p>
      <w:pPr>
        <w:spacing w:before="80" w:after="80"/>
      </w:pPr>
      <w:r>
        <w:rPr>
          <w:rFonts w:ascii="Arial" w:cs="Arial" w:eastAsia="Arial" w:hAnsi="Arial"/>
          <w:sz w:val="22"/>
          <w:szCs w:val="22"/>
        </w:rPr>
        <w:t xml:space="preserve">Cette section présente une analyse critique du cahier des charges initial, en identifiant les points techniquement fragiles, manquants ou à affiner avant le démarrage du développement.</w:t>
      </w:r>
    </w:p>
    <w:p>
      <w:pPr>
        <w:spacing w:before="120" w:after="0"/>
      </w:pPr>
      <w:r>
        <w:t xml:space="preserve"/>
      </w:r>
    </w:p>
    <w:p>
      <w:pPr>
        <w:pStyle w:val="Heading2"/>
        <w:spacing w:before="300" w:after="160"/>
      </w:pPr>
      <w:r>
        <w:rPr>
          <w:rFonts w:ascii="Arial" w:cs="Arial" w:eastAsia="Arial" w:hAnsi="Arial"/>
          <w:b/>
          <w:bCs/>
          <w:color w:val="2980B9"/>
          <w:sz w:val="26"/>
          <w:szCs w:val="26"/>
        </w:rPr>
        <w:t xml:space="preserve">3.1  Collecte de l'IMEI — Risque Légal Majeur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r>
              <w:rPr>
                <w:rFonts w:ascii="Arial" w:cs="Arial" w:eastAsia="Arial" w:hAnsi="Arial"/>
                <w:b/>
                <w:bCs/>
                <w:color w:val="FFFFFF"/>
                <w:sz w:val="22"/>
                <w:szCs w:val="22"/>
              </w:rPr>
              <w:t xml:space="preserve">⚠  Point critique identifié</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Le CdC demande d'enregistrer l'IMEI du téléphone dans les logs d'audit comme preuve légale.</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Or, la collecte directe de l'IMEI est illégale ou très réglementée dans la plupart des pays</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africains et est interdite par le RGPD (donnée personnelle quasi-biométrique).</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Android 10+ bloque l'accès à l'IMEI sans permission PHONE hautement restrictive.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r>
              <w:rPr>
                <w:rFonts w:ascii="Arial" w:cs="Arial" w:eastAsia="Arial" w:hAnsi="Arial"/>
                <w:b/>
                <w:bCs/>
                <w:color w:val="FFFFFF"/>
                <w:sz w:val="22"/>
                <w:szCs w:val="22"/>
              </w:rPr>
              <w:t xml:space="preserve">✅  Proposition : remplacer l'IMEI par un Device Fingerprint</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Générer côté application un UUID device dérivé de : hardware_id + app_signature + salt.</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Stocker uniquement ce UUID (pseudonyme, non réversible vers l'IMEI réel).</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Valeur légale équivalente : lie l'action à un terminal précis sans violer la vie privée.</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Compléter avec l'IP, le GPS et le timestamp pour le journal d'audit légal.</w:t>
            </w:r>
          </w:p>
        </w:tc>
      </w:tr>
    </w:tbl>
    <w:p>
      <w:pPr>
        <w:spacing w:before="160" w:after="0"/>
      </w:pPr>
      <w:r>
        <w:t xml:space="preserve"/>
      </w:r>
    </w:p>
    <w:p>
      <w:pPr>
        <w:pStyle w:val="Heading2"/>
        <w:spacing w:before="300" w:after="160"/>
      </w:pPr>
      <w:r>
        <w:rPr>
          <w:rFonts w:ascii="Arial" w:cs="Arial" w:eastAsia="Arial" w:hAnsi="Arial"/>
          <w:b/>
          <w:bCs/>
          <w:color w:val="2980B9"/>
          <w:sz w:val="26"/>
          <w:szCs w:val="26"/>
        </w:rPr>
        <w:t xml:space="preserve">3.2  Blockchain / Ledger Immuable — Complexité inutile au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r>
              <w:rPr>
                <w:rFonts w:ascii="Arial" w:cs="Arial" w:eastAsia="Arial" w:hAnsi="Arial"/>
                <w:b/>
                <w:bCs/>
                <w:color w:val="FFFFFF"/>
                <w:sz w:val="22"/>
                <w:szCs w:val="22"/>
              </w:rPr>
              <w:t xml:space="preserve">⚠  Point à reconsidérer</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Le CdC mentionne un 'système immuable (Ledger)' sans préciser si c'est une vraie blockchain.</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Une blockchain décentralisée (ex: Ethereum) serait disproportionnée pour un MVP :</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coûts de transaction, latence, compétences rares, pas adaptée au secteur informel africain.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r>
              <w:rPr>
                <w:rFonts w:ascii="Arial" w:cs="Arial" w:eastAsia="Arial" w:hAnsi="Arial"/>
                <w:b/>
                <w:bCs/>
                <w:color w:val="FFFFFF"/>
                <w:sz w:val="22"/>
                <w:szCs w:val="22"/>
              </w:rPr>
              <w:t xml:space="preserve">✅  Proposition : Hash Chain en base de données</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Chaque transaction stocke un champ hash_chain = SHA-256(contenu_tx || hash_tx_précédente).</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Toute altération rétroactive d'une ligne casse la chaîne de hachage → détectable immédiatement.</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Simple à implémenter, vérifiable par un expert judiciaire, zéro coût de réseau.</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Même principe que Git ou les journaux de caisse certifiés — validé légalement.</w:t>
            </w:r>
          </w:p>
        </w:tc>
      </w:tr>
    </w:tbl>
    <w:p>
      <w:pPr>
        <w:spacing w:before="160" w:after="0"/>
      </w:pPr>
      <w:r>
        <w:t xml:space="preserve"/>
      </w:r>
    </w:p>
    <w:p>
      <w:pPr>
        <w:pStyle w:val="Heading2"/>
        <w:spacing w:before="300" w:after="160"/>
      </w:pPr>
      <w:r>
        <w:rPr>
          <w:rFonts w:ascii="Arial" w:cs="Arial" w:eastAsia="Arial" w:hAnsi="Arial"/>
          <w:b/>
          <w:bCs/>
          <w:color w:val="2980B9"/>
          <w:sz w:val="26"/>
          <w:szCs w:val="26"/>
        </w:rPr>
        <w:t xml:space="preserve">3.3  Saisie Vocale — Ambiguïté fonctionnelle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r>
              <w:rPr>
                <w:rFonts w:ascii="Arial" w:cs="Arial" w:eastAsia="Arial" w:hAnsi="Arial"/>
                <w:b/>
                <w:bCs/>
                <w:color w:val="FFFFFF"/>
                <w:sz w:val="22"/>
                <w:szCs w:val="22"/>
              </w:rPr>
              <w:t xml:space="preserve">⚠  Ambiguïté à clarifier</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La saisie vocale est mentionnée mais le flux n'est pas défini : que fait l'app exactement ?</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Dicter 'j'ai vendu 5 kg de tomates à 500 FCFA' nécessite du NLP en langues locales.</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Les modèles NLP pour Fon, Haoussa ou Bambara sont quasi-inexistants hors Whisper (OpenAI).</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r>
              <w:rPr>
                <w:rFonts w:ascii="Arial" w:cs="Arial" w:eastAsia="Arial" w:hAnsi="Arial"/>
                <w:b/>
                <w:bCs/>
                <w:color w:val="FFFFFF"/>
                <w:sz w:val="22"/>
                <w:szCs w:val="22"/>
              </w:rPr>
              <w:t xml:space="preserve">✅  Proposition progressive</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MVP : saisie vocale = reconnaissance en français/anglais uniquement (Google ML Kit offline).</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Le discours reconnu pré-remplit les champs — l'utilisateur valide visuellement.</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Phase 2 : fine-tuning Whisper sur corpus Wolof/Fon collecté auprès des beta-testeurs.</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Pas de saisie 'mains libres' validée automatiquement sans confirmation utilisateur.</w:t>
            </w:r>
          </w:p>
        </w:tc>
      </w:tr>
    </w:tbl>
    <w:p>
      <w:pPr>
        <w:spacing w:before="160" w:after="0"/>
      </w:pPr>
      <w:r>
        <w:t xml:space="preserve"/>
      </w:r>
    </w:p>
    <w:p>
      <w:pPr>
        <w:pStyle w:val="Heading2"/>
        <w:spacing w:before="300" w:after="160"/>
      </w:pPr>
      <w:r>
        <w:rPr>
          <w:rFonts w:ascii="Arial" w:cs="Arial" w:eastAsia="Arial" w:hAnsi="Arial"/>
          <w:b/>
          <w:bCs/>
          <w:color w:val="2980B9"/>
          <w:sz w:val="26"/>
          <w:szCs w:val="26"/>
        </w:rPr>
        <w:t xml:space="preserve">3.4  Score de Crédit — Algorithme opaque sans gouvernance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r>
              <w:rPr>
                <w:rFonts w:ascii="Arial" w:cs="Arial" w:eastAsia="Arial" w:hAnsi="Arial"/>
                <w:b/>
                <w:bCs/>
                <w:color w:val="FFFFFF"/>
                <w:sz w:val="22"/>
                <w:szCs w:val="22"/>
              </w:rPr>
              <w:t xml:space="preserve">⚠  Risque éthique et réglementaire</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Le CdC parle d'un 'algorithme de score' sans préciser sa logique ni sa gouvernance.</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Un score de crédit opaque peut reproduire des biais défavorables aux femmes et aux minorités.</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Les régulateurs financiers africains (BCEAO, BAD) encadrent de plus en plus le crédit algorithmique.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r>
              <w:rPr>
                <w:rFonts w:ascii="Arial" w:cs="Arial" w:eastAsia="Arial" w:hAnsi="Arial"/>
                <w:b/>
                <w:bCs/>
                <w:color w:val="FFFFFF"/>
                <w:sz w:val="22"/>
                <w:szCs w:val="22"/>
              </w:rPr>
              <w:t xml:space="preserve">✅  Proposition : Score explicable et auditable</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Définir une grille de scoring transparente : CA moyen (30%), régularité (25%),</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taux d'annulation (20%), ancienneté (15%), diversité produits (10%).</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Afficher à l'utilisateur les facteurs qui font baisser son score.</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Journaliser chaque calcul dans credit_scores.details_json pour audit bancaire.</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Prévoir un mécanisme de contestation du score par le commerçant.</w:t>
            </w:r>
          </w:p>
        </w:tc>
      </w:tr>
    </w:tbl>
    <w:p>
      <w:pPr>
        <w:spacing w:before="160" w:after="0"/>
      </w:pPr>
      <w:r>
        <w:t xml:space="preserve"/>
      </w:r>
    </w:p>
    <w:p>
      <w:pPr>
        <w:pStyle w:val="Heading2"/>
        <w:spacing w:before="300" w:after="160"/>
      </w:pPr>
      <w:r>
        <w:rPr>
          <w:rFonts w:ascii="Arial" w:cs="Arial" w:eastAsia="Arial" w:hAnsi="Arial"/>
          <w:b/>
          <w:bCs/>
          <w:color w:val="2980B9"/>
          <w:sz w:val="26"/>
          <w:szCs w:val="26"/>
        </w:rPr>
        <w:t xml:space="preserve">3.5  Mode Offline — Conflits de synchronisation non traités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r>
              <w:rPr>
                <w:rFonts w:ascii="Arial" w:cs="Arial" w:eastAsia="Arial" w:hAnsi="Arial"/>
                <w:b/>
                <w:bCs/>
                <w:color w:val="FFFFFF"/>
                <w:sz w:val="22"/>
                <w:szCs w:val="22"/>
              </w:rPr>
              <w:t xml:space="preserve">⚠  Lacune technique importante</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Le CdC mentionne le mode offline mais ne définit pas la stratégie de gestion des conflits.</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Exemple : un commerçant vend en offline, son aide vend aussi en ligne au même moment.</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Sans stratégie, la synchronisation peut créer des doublons ou des stocks négatifs.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r>
              <w:rPr>
                <w:rFonts w:ascii="Arial" w:cs="Arial" w:eastAsia="Arial" w:hAnsi="Arial"/>
                <w:b/>
                <w:bCs/>
                <w:color w:val="FFFFFF"/>
                <w:sz w:val="22"/>
                <w:szCs w:val="22"/>
              </w:rPr>
              <w:t xml:space="preserve">✅  Proposition : Stratégie CRDT + Idempotence</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Chaque transaction offline reçoit un UUID client généré sur le device.</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Le serveur ignore les doublons d'UUID (idempotence POST /sync).</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Stock : calculé en temps réel par agrégation des transactions (pas stocké en dur).</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En cas de conflit irréductible : alerte à l'utilisateur, résolution manuelle.</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File d'attente Redis pour ordonner les syncs concurrentes.</w:t>
            </w:r>
          </w:p>
        </w:tc>
      </w:tr>
    </w:tbl>
    <w:p>
      <w:pPr>
        <w:spacing w:before="160" w:after="0"/>
      </w:pPr>
      <w:r>
        <w:t xml:space="preserve"/>
      </w:r>
    </w:p>
    <w:p>
      <w:pPr>
        <w:pStyle w:val="Heading2"/>
        <w:spacing w:before="300" w:after="160"/>
      </w:pPr>
      <w:r>
        <w:rPr>
          <w:rFonts w:ascii="Arial" w:cs="Arial" w:eastAsia="Arial" w:hAnsi="Arial"/>
          <w:b/>
          <w:bCs/>
          <w:color w:val="2980B9"/>
          <w:sz w:val="26"/>
          <w:szCs w:val="26"/>
        </w:rPr>
        <w:t xml:space="preserve">3.6  QR Code de Vérification — Implémentation à préciser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980B9" w:sz="1"/>
              <w:left w:val="single" w:color="2980B9" w:sz="1"/>
              <w:bottom w:val="single" w:color="2980B9" w:sz="1"/>
              <w:right w:val="single" w:color="2980B9" w:sz="1"/>
            </w:tcBorders>
            <w:shd w:fill="2980B9" w:val="clear"/>
            <w:tcMar>
              <w:top w:type="dxa" w:w="100"/>
              <w:left w:type="dxa" w:w="120"/>
              <w:bottom w:type="dxa" w:w="100"/>
              <w:right w:type="dxa" w:w="120"/>
            </w:tcMar>
            <w:vAlign w:val="center"/>
          </w:tcPr>
          <w:p>
            <w:r>
              <w:rPr>
                <w:rFonts w:ascii="Arial" w:cs="Arial" w:eastAsia="Arial" w:hAnsi="Arial"/>
                <w:b/>
                <w:bCs/>
                <w:color w:val="FFFFFF"/>
                <w:sz w:val="22"/>
                <w:szCs w:val="22"/>
              </w:rPr>
              <w:t xml:space="preserve">ℹ  Bonne idée, mais à compléter</w:t>
            </w:r>
          </w:p>
        </w:tc>
      </w:tr>
      <w:tr>
        <w:tc>
          <w:tcPr>
            <w:tcW w:type="dxa" w:w="9360"/>
            <w:tcBorders>
              <w:top w:val="single" w:color="2980B9" w:sz="1"/>
              <w:left w:val="single" w:color="2980B9" w:sz="1"/>
              <w:bottom w:val="single" w:color="2980B9" w:sz="1"/>
              <w:right w:val="single" w:color="2980B9" w:sz="1"/>
            </w:tcBorders>
            <w:shd w:fill="D6E4F0"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Le QR code de vérification des bilans est une excellente innovation anti-falsification.</w:t>
            </w:r>
          </w:p>
        </w:tc>
      </w:tr>
      <w:tr>
        <w:tc>
          <w:tcPr>
            <w:tcW w:type="dxa" w:w="9360"/>
            <w:tcBorders>
              <w:top w:val="single" w:color="2980B9" w:sz="1"/>
              <w:left w:val="single" w:color="2980B9" w:sz="1"/>
              <w:bottom w:val="single" w:color="2980B9" w:sz="1"/>
              <w:right w:val="single" w:color="2980B9" w:sz="1"/>
            </w:tcBorders>
            <w:shd w:fill="D6E4F0"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Cependant le CdC ne précise pas : durée de validité, qui peut scanner, que se passe-t-il</w:t>
            </w:r>
          </w:p>
        </w:tc>
      </w:tr>
      <w:tr>
        <w:tc>
          <w:tcPr>
            <w:tcW w:type="dxa" w:w="9360"/>
            <w:tcBorders>
              <w:top w:val="single" w:color="2980B9" w:sz="1"/>
              <w:left w:val="single" w:color="2980B9" w:sz="1"/>
              <w:bottom w:val="single" w:color="2980B9" w:sz="1"/>
              <w:right w:val="single" w:color="2980B9" w:sz="1"/>
            </w:tcBorders>
            <w:shd w:fill="D6E4F0"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si le serveur est hors ligne au moment de la vérification par le banquier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r>
              <w:rPr>
                <w:rFonts w:ascii="Arial" w:cs="Arial" w:eastAsia="Arial" w:hAnsi="Arial"/>
                <w:b/>
                <w:bCs/>
                <w:color w:val="FFFFFF"/>
                <w:sz w:val="22"/>
                <w:szCs w:val="22"/>
              </w:rPr>
              <w:t xml:space="preserve">✅  Proposition de spécification complète</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Le QR encode : https://app.domaine.com/verify/{qr_token} (token HMAC, signé côté serveur).</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La page /verify est publique en lecture seule, sans login requis.</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Le rapport est mis en cache CDN 90 jours → disponible même si le serveur est chargé.</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Après 5 ans (limite légale), le QR pointe vers une archive froide en lecture seule.</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Afficher : date de génération, hash SHA-256, mention 'Données certifiées par TaxBridge'.</w:t>
            </w:r>
          </w:p>
        </w:tc>
      </w:tr>
    </w:tbl>
    <w:p>
      <w:pPr>
        <w:spacing w:before="160" w:after="0"/>
      </w:pPr>
      <w:r>
        <w:t xml:space="preserve"/>
      </w:r>
    </w:p>
    <w:p>
      <w:pPr>
        <w:pStyle w:val="Heading2"/>
        <w:spacing w:before="300" w:after="160"/>
      </w:pPr>
      <w:r>
        <w:rPr>
          <w:rFonts w:ascii="Arial" w:cs="Arial" w:eastAsia="Arial" w:hAnsi="Arial"/>
          <w:b/>
          <w:bCs/>
          <w:color w:val="2980B9"/>
          <w:sz w:val="26"/>
          <w:szCs w:val="26"/>
        </w:rPr>
        <w:t xml:space="preserve">3.7  Archivage des Reçus — Coût et volumétrie non estimés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r>
              <w:rPr>
                <w:rFonts w:ascii="Arial" w:cs="Arial" w:eastAsia="Arial" w:hAnsi="Arial"/>
                <w:b/>
                <w:bCs/>
                <w:color w:val="FFFFFF"/>
                <w:sz w:val="22"/>
                <w:szCs w:val="22"/>
              </w:rPr>
              <w:t xml:space="preserve">⚠  Risque de dérive budgétaire</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Le CdC prévoit le stockage de photos de factures et reçus dans le Cloud sécurisé.</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Pour 10 000 commerçants avec 5 reçus/jour @ 500 KB chacun = 25 GB/jour = 9 TB/an.</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Sans politique de rétention ni compression, le coût peut devenir insoutenable.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r>
              <w:rPr>
                <w:rFonts w:ascii="Arial" w:cs="Arial" w:eastAsia="Arial" w:hAnsi="Arial"/>
                <w:b/>
                <w:bCs/>
                <w:color w:val="FFFFFF"/>
                <w:sz w:val="22"/>
                <w:szCs w:val="22"/>
              </w:rPr>
              <w:t xml:space="preserve">✅  Proposition : Politique de gestion documentaire</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Compression WebP avant upload : réduction 60-70% de la taille des images.</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Rétention active 3 ans, archive froide années 4-7, suppression après 7 ans (légal).</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Quota par commerçant : 500 MB inclus, puis offre premium.</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Utiliser Cloudflare R2 (0$ egress) ou Backblaze B2 ($6/TB) plutôt qu'AWS S3.</w:t>
            </w:r>
          </w:p>
        </w:tc>
      </w:tr>
    </w:tbl>
    <w:p>
      <w:pPr>
        <w:spacing w:before="160" w:after="0"/>
      </w:pPr>
      <w:r>
        <w:t xml:space="preserve"/>
      </w:r>
    </w:p>
    <w:p>
      <w:pPr>
        <w:pStyle w:val="Heading2"/>
        <w:spacing w:before="300" w:after="160"/>
      </w:pPr>
      <w:r>
        <w:rPr>
          <w:rFonts w:ascii="Arial" w:cs="Arial" w:eastAsia="Arial" w:hAnsi="Arial"/>
          <w:b/>
          <w:bCs/>
          <w:color w:val="2980B9"/>
          <w:sz w:val="26"/>
          <w:szCs w:val="26"/>
        </w:rPr>
        <w:t xml:space="preserve">3.8  Consentement Bancaire — Mécanisme non défini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vAlign w:val="center"/>
          </w:tcPr>
          <w:p>
            <w:r>
              <w:rPr>
                <w:rFonts w:ascii="Arial" w:cs="Arial" w:eastAsia="Arial" w:hAnsi="Arial"/>
                <w:b/>
                <w:bCs/>
                <w:color w:val="FFFFFF"/>
                <w:sz w:val="22"/>
                <w:szCs w:val="22"/>
              </w:rPr>
              <w:t xml:space="preserve">⚠  Lacune réglementaire</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Le CdC mentionne que les banques accèdent à l'historique 'avec l'accord du commerçant'</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mais ne définit pas le mécanisme de consentement (révocable ? par accès ? durée ?).</w:t>
            </w:r>
          </w:p>
        </w:tc>
      </w:tr>
      <w:tr>
        <w:tc>
          <w:tcPr>
            <w:tcW w:type="dxa" w:w="9360"/>
            <w:tcBorders>
              <w:top w:val="single" w:color="C0392B" w:sz="1"/>
              <w:left w:val="single" w:color="C0392B" w:sz="1"/>
              <w:bottom w:val="single" w:color="C0392B" w:sz="1"/>
              <w:right w:val="single" w:color="C0392B" w:sz="1"/>
            </w:tcBorders>
            <w:shd w:fill="FADBD8"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Sans consentement formalisé, le projet est exposé à des litiges et sanctions RGPD.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20"/>
              <w:bottom w:type="dxa" w:w="100"/>
              <w:right w:type="dxa" w:w="120"/>
            </w:tcMar>
            <w:vAlign w:val="center"/>
          </w:tcPr>
          <w:p>
            <w:r>
              <w:rPr>
                <w:rFonts w:ascii="Arial" w:cs="Arial" w:eastAsia="Arial" w:hAnsi="Arial"/>
                <w:b/>
                <w:bCs/>
                <w:color w:val="FFFFFF"/>
                <w:sz w:val="22"/>
                <w:szCs w:val="22"/>
              </w:rPr>
              <w:t xml:space="preserve">✅  Proposition : Consentement explicite granulaire</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Créer une table bank_consents (user_id, bank_id, granted_at, revoked_at, scope).</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Scope possible : 'read_score_only' | 'read_3m' | 'read_full'.</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Le commerçant accorde et révoque le consentement en un tap depuis son profil.</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Chaque consultation bancaire est tracée dans audit_logs avec le scope utilisé.</w:t>
            </w:r>
          </w:p>
        </w:tc>
      </w:tr>
      <w:tr>
        <w:tc>
          <w:tcPr>
            <w:tcW w:type="dxa" w:w="936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vAlign w:val="center"/>
          </w:tcPr>
          <w:p>
            <w:pPr>
              <w:spacing w:before="60" w:after="60"/>
            </w:pPr>
            <w:r>
              <w:rPr>
                <w:rFonts w:ascii="Arial" w:cs="Arial" w:eastAsia="Arial" w:hAnsi="Arial"/>
                <w:sz w:val="21"/>
                <w:szCs w:val="21"/>
              </w:rPr>
              <w:t xml:space="preserve">Token d'accès bancaire expire après 90 jours sans renouvellement.</w:t>
            </w:r>
          </w:p>
        </w:tc>
      </w:tr>
    </w:tbl>
    <w:p>
      <w:r>
        <w:br w:type="page"/>
      </w:r>
    </w:p>
    <w:p>
      <w:pPr>
        <w:pStyle w:val="Heading1"/>
        <w:spacing w:before="400" w:after="200"/>
      </w:pPr>
      <w:r>
        <w:rPr>
          <w:rFonts w:ascii="Arial" w:cs="Arial" w:eastAsia="Arial" w:hAnsi="Arial"/>
          <w:b/>
          <w:bCs/>
          <w:color w:val="1B4F8A"/>
          <w:sz w:val="32"/>
          <w:szCs w:val="32"/>
        </w:rPr>
        <w:t xml:space="preserve">4. Roadmap Technique Révisée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5160"/>
        <w:gridCol w:w="1200"/>
      </w:tblGrid>
      <w:tr>
        <w:trPr>
          <w:tblHeader/>
        </w:trPr>
        <w:tc>
          <w:tcPr>
            <w:tcW w:type="dxa" w:w="1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1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Durée</w:t>
            </w:r>
          </w:p>
        </w:tc>
        <w:tc>
          <w:tcPr>
            <w:tcW w:type="dxa" w:w="51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Livrables techniques</w:t>
            </w:r>
          </w:p>
        </w:tc>
        <w:tc>
          <w:tcPr>
            <w:tcW w:type="dxa" w:w="12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Priorité</w:t>
            </w:r>
          </w:p>
        </w:tc>
      </w:tr>
      <w:tr>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0 — Fondations</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2 sem.</w:t>
            </w:r>
          </w:p>
        </w:tc>
        <w:tc>
          <w:tcPr>
            <w:tcW w:type="dxa" w:w="5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Schéma BDD PostgreSQL complet + Prisma migrations. Auth JWT + PIN. Sync offline basique (UUID dedup).</w:t>
            </w:r>
          </w:p>
        </w:tc>
        <w:tc>
          <w:tcPr>
            <w:tcW w:type="dxa" w:w="1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C0392B"/>
                <w:sz w:val="20"/>
                <w:szCs w:val="20"/>
              </w:rPr>
              <w:t xml:space="preserve">Critique</w:t>
            </w:r>
          </w:p>
        </w:tc>
      </w:tr>
      <w:tr>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1 — MVP Commerçant</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6 sem.</w:t>
            </w:r>
          </w:p>
        </w:tc>
        <w:tc>
          <w:tcPr>
            <w:tcW w:type="dxa" w:w="5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App Flutter : saisie ventes/dépenses, gestion stock, dashboard KPI simple, mode offline.</w:t>
            </w:r>
          </w:p>
        </w:tc>
        <w:tc>
          <w:tcPr>
            <w:tcW w:type="dxa" w:w="1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E8449"/>
                <w:sz w:val="20"/>
                <w:szCs w:val="20"/>
              </w:rPr>
              <w:t xml:space="preserve">Haute</w:t>
            </w:r>
          </w:p>
        </w:tc>
      </w:tr>
      <w:tr>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2 — Fiscalité &amp; Rapports</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3 sem.</w:t>
            </w:r>
          </w:p>
        </w:tc>
        <w:tc>
          <w:tcPr>
            <w:tcW w:type="dxa" w:w="5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Moteur de calcul fiscal, génération PDF bilans, QR code de vérification, archivage reçus.</w:t>
            </w:r>
          </w:p>
        </w:tc>
        <w:tc>
          <w:tcPr>
            <w:tcW w:type="dxa" w:w="1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E8449"/>
                <w:sz w:val="20"/>
                <w:szCs w:val="20"/>
              </w:rPr>
              <w:t xml:space="preserve">Haute</w:t>
            </w:r>
          </w:p>
        </w:tc>
      </w:tr>
      <w:tr>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3 — Score &amp; Banques</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4 sem.</w:t>
            </w:r>
          </w:p>
        </w:tc>
        <w:tc>
          <w:tcPr>
            <w:tcW w:type="dxa" w:w="5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Algorithme de scoring v1, dashboard Web banques, module consentement, webhooks.</w:t>
            </w:r>
          </w:p>
        </w:tc>
        <w:tc>
          <w:tcPr>
            <w:tcW w:type="dxa" w:w="1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2980B9"/>
                <w:sz w:val="20"/>
                <w:szCs w:val="20"/>
              </w:rPr>
              <w:t xml:space="preserve">Moyenne</w:t>
            </w:r>
          </w:p>
        </w:tc>
      </w:tr>
      <w:tr>
        <w:tc>
          <w:tcPr>
            <w:tcW w:type="dxa" w:w="14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1B4F8A"/>
                <w:sz w:val="20"/>
                <w:szCs w:val="20"/>
              </w:rPr>
              <w:t xml:space="preserve">4 — NLP &amp; Voix</w:t>
            </w:r>
          </w:p>
        </w:tc>
        <w:tc>
          <w:tcPr>
            <w:tcW w:type="dxa" w:w="16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4 sem.</w:t>
            </w:r>
          </w:p>
        </w:tc>
        <w:tc>
          <w:tcPr>
            <w:tcW w:type="dxa" w:w="516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Saisie vocale FR/EN, fine-tuning langues locales, notifications push fiscales.</w:t>
            </w:r>
          </w:p>
        </w:tc>
        <w:tc>
          <w:tcPr>
            <w:tcW w:type="dxa" w:w="1200"/>
            <w:tcBorders>
              <w:top w:val="single" w:color="AEB6BF" w:sz="1"/>
              <w:left w:val="single" w:color="AEB6BF" w:sz="1"/>
              <w:bottom w:val="single" w:color="AEB6BF" w:sz="1"/>
              <w:right w:val="single" w:color="AEB6BF" w:sz="1"/>
            </w:tcBorders>
            <w:shd w:fill="F2F3F4" w:val="clear"/>
            <w:tcMar>
              <w:top w:type="dxa" w:w="100"/>
              <w:left w:type="dxa" w:w="120"/>
              <w:bottom w:type="dxa" w:w="100"/>
              <w:right w:type="dxa" w:w="120"/>
            </w:tcMar>
            <w:vAlign w:val="center"/>
          </w:tcPr>
          <w:p>
            <w:r>
              <w:rPr>
                <w:rFonts w:ascii="Arial" w:cs="Arial" w:eastAsia="Arial" w:hAnsi="Arial"/>
                <w:b/>
                <w:bCs/>
                <w:color w:val="2980B9"/>
                <w:sz w:val="20"/>
                <w:szCs w:val="20"/>
              </w:rPr>
              <w:t xml:space="preserve">Basse</w:t>
            </w:r>
          </w:p>
        </w:tc>
      </w:tr>
      <w:tr>
        <w:tc>
          <w:tcPr>
            <w:tcW w:type="dxa" w:w="14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1B4F8A"/>
                <w:sz w:val="20"/>
                <w:szCs w:val="20"/>
              </w:rPr>
              <w:t xml:space="preserve">5 — Scale &amp; Compliance</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Continu</w:t>
            </w:r>
          </w:p>
        </w:tc>
        <w:tc>
          <w:tcPr>
            <w:tcW w:type="dxa" w:w="516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Partitionnement BDD, audit sécurité, certification ISO 27001, partenariats BCEAO.</w:t>
            </w:r>
          </w:p>
        </w:tc>
        <w:tc>
          <w:tcPr>
            <w:tcW w:type="dxa" w:w="1200"/>
            <w:tcBorders>
              <w:top w:val="single" w:color="AEB6BF" w:sz="1"/>
              <w:left w:val="single" w:color="AEB6BF" w:sz="1"/>
              <w:bottom w:val="single" w:color="AEB6BF" w:sz="1"/>
              <w:right w:val="single" w:color="AEB6BF" w:sz="1"/>
            </w:tcBorders>
            <w:shd w:fill="FFFFFF" w:val="clear"/>
            <w:tcMar>
              <w:top w:type="dxa" w:w="100"/>
              <w:left w:type="dxa" w:w="120"/>
              <w:bottom w:type="dxa" w:w="100"/>
              <w:right w:type="dxa" w:w="120"/>
            </w:tcMar>
            <w:vAlign w:val="center"/>
          </w:tcPr>
          <w:p>
            <w:r>
              <w:rPr>
                <w:rFonts w:ascii="Arial" w:cs="Arial" w:eastAsia="Arial" w:hAnsi="Arial"/>
                <w:b/>
                <w:bCs/>
                <w:color w:val="2980B9"/>
                <w:sz w:val="20"/>
                <w:szCs w:val="20"/>
              </w:rPr>
              <w:t xml:space="preserve">Planifiée</w:t>
            </w:r>
          </w:p>
        </w:tc>
      </w:tr>
    </w:tbl>
    <w:p>
      <w:pPr>
        <w:spacing w:before="300" w:after="0"/>
      </w:pPr>
      <w:r>
        <w:t xml:space="preserve"/>
      </w:r>
    </w:p>
    <w:p>
      <w:pPr>
        <w:pBdr>
          <w:top w:val="single" w:color="2980B9" w:sz="4" w:space="1"/>
        </w:pBdr>
        <w:spacing w:before="200" w:after="0"/>
        <w:jc w:val="center"/>
      </w:pPr>
      <w:r>
        <w:rPr>
          <w:rFonts w:ascii="Arial" w:cs="Arial" w:eastAsia="Arial" w:hAnsi="Arial"/>
          <w:color w:val="888888"/>
          <w:sz w:val="18"/>
          <w:szCs w:val="18"/>
        </w:rPr>
        <w:t xml:space="preserve">Document confidentiel — TaxBridge / Kadiatou-Gestion © 2026  |  À usage interne</w:t>
      </w:r>
    </w:p>
    <w:sectPr>
      <w:footerReference w:type="default" r:id="rId6"/>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TaxBridge — Document Technique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B4F8A" w:sz="6" w:space="4"/>
      </w:pBdr>
      <w:spacing w:before="480" w:after="240"/>
      <w:outlineLvl w:val="0"/>
    </w:pPr>
    <w:rPr>
      <w:rFonts w:ascii="Arial" w:cs="Arial" w:eastAsia="Arial" w:hAnsi="Arial"/>
      <w:b/>
      <w:bCs/>
      <w:color w:val="1B4F8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980B9"/>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2026-03-21T11:39:51.342Z</dcterms:created>
  <dcterms:modified xsi:type="dcterms:W3CDTF">2026-03-21T11:39:51.343Z</dcterms:modified>
</cp:coreProperties>
</file>

<file path=docProps/custom.xml><?xml version="1.0" encoding="utf-8"?>
<Properties xmlns="http://schemas.openxmlformats.org/officeDocument/2006/custom-properties" xmlns:vt="http://schemas.openxmlformats.org/officeDocument/2006/docPropsVTypes"/>
</file>