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6.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Analysis of Rural-Urban Difference in Drinking Water System Violations in Georgia</w:t>
      </w:r>
    </w:p>
    <w:p>
      <w:pPr>
        <w:pStyle w:val="Author"/>
      </w:pPr>
      <w:r>
        <w:t xml:space="preserve">Talia C. Swanson, B.S.</w:t>
      </w:r>
    </w:p>
    <w:bookmarkStart w:id="20" w:name="abstract"/>
    <w:p>
      <w:pPr>
        <w:pStyle w:val="Heading1"/>
      </w:pPr>
      <w:r>
        <w:t xml:space="preserve">1. Abstract</w:t>
      </w:r>
    </w:p>
    <w:bookmarkEnd w:id="20"/>
    <w:bookmarkStart w:id="23" w:name="introduction"/>
    <w:p>
      <w:pPr>
        <w:pStyle w:val="Heading1"/>
      </w:pPr>
      <w:r>
        <w:t xml:space="preserve">2. Introduction</w:t>
      </w:r>
    </w:p>
    <w:bookmarkStart w:id="21" w:name="background"/>
    <w:p>
      <w:pPr>
        <w:pStyle w:val="Heading2"/>
      </w:pPr>
      <w:r>
        <w:t xml:space="preserve">2.1 Background</w:t>
      </w:r>
    </w:p>
    <w:p>
      <w:pPr>
        <w:pStyle w:val="FirstParagraph"/>
      </w:pPr>
      <w:r>
        <w:t xml:space="preserve">Access to safe drinking water is a fundamental public health priority in the United States</w:t>
      </w:r>
      <w:r>
        <w:rPr>
          <w:vertAlign w:val="superscript"/>
        </w:rPr>
        <w:t xml:space="preserve">1</w:t>
      </w:r>
      <w:r>
        <w:t xml:space="preserve">. While most public water systems comply with federal and state regulations, disparities exist in water quality outcomes across georgraphic regions. Rural communities often face unique challenges, including limited infrastructure, smaller economies of scale, and reduced regulatory oversight, which may contribute to increased risk of drinking water violations</w:t>
      </w:r>
      <w:r>
        <w:rPr>
          <w:vertAlign w:val="superscript"/>
        </w:rPr>
        <w:t xml:space="preserve">2,3</w:t>
      </w:r>
      <w:r>
        <w:t xml:space="preserve">. In Georgia, the distribution of public water systems spans urban centers as well as rural areas with small and isolated populations. Understanding whether rural water systems are more likely to experience violations compared to urban systems is critical for identifying areas in need of additional support, inform regulatory priorities, and guding interventions to ensure equitable access to safe drinking water</w:t>
      </w:r>
      <w:r>
        <w:rPr>
          <w:vertAlign w:val="superscript"/>
        </w:rPr>
        <w:t xml:space="preserve">4</w:t>
      </w:r>
      <w:r>
        <w:t xml:space="preserve">.</w:t>
      </w:r>
    </w:p>
    <w:bookmarkEnd w:id="21"/>
    <w:bookmarkStart w:id="22" w:name="research-question"/>
    <w:p>
      <w:pPr>
        <w:pStyle w:val="Heading2"/>
      </w:pPr>
      <w:r>
        <w:t xml:space="preserve">2.2 Research Question</w:t>
      </w:r>
    </w:p>
    <w:p>
      <w:pPr>
        <w:pStyle w:val="FirstParagraph"/>
      </w:pPr>
      <w:r>
        <w:t xml:space="preserve">This analysis evaluated whether rural public water systems in Georgia are more likely to experience drinking water quality violations compared to urban water systems. The primary outcome of interest was the occurrence of at least one drinking water violation per system. The primary predictor was rural versus urban classification of the water system’s service area. Additional system-level factors, including population served and system type, are considered as potential confounders.</w:t>
      </w:r>
    </w:p>
    <w:bookmarkEnd w:id="22"/>
    <w:bookmarkEnd w:id="23"/>
    <w:bookmarkStart w:id="30" w:name="methods"/>
    <w:p>
      <w:pPr>
        <w:pStyle w:val="Heading1"/>
      </w:pPr>
      <w:r>
        <w:t xml:space="preserve">3. Methods</w:t>
      </w:r>
    </w:p>
    <w:bookmarkStart w:id="24" w:name="data-source"/>
    <w:p>
      <w:pPr>
        <w:pStyle w:val="Heading2"/>
      </w:pPr>
      <w:r>
        <w:t xml:space="preserve">3.1 Data Source</w:t>
      </w:r>
    </w:p>
    <w:p>
      <w:pPr>
        <w:pStyle w:val="FirstParagraph"/>
      </w:pPr>
      <w:r>
        <w:t xml:space="preserve">The primary data source is the Safe Drinking Information System (SDWIS), maintained by the Environmental Protection Agency (EPA). SDWIS collected information from public water systems and state primacy agencies, including characteristics, populations served, ownership type, geographic location, and violation records. Two SDWIS datasets were used: one containing water information and the other documenting violation-level records. Rural-urban classification was assigned using the 2010 RUCA ZIP code dataset.</w:t>
      </w:r>
    </w:p>
    <w:bookmarkEnd w:id="24"/>
    <w:bookmarkStart w:id="25" w:name="study-population"/>
    <w:p>
      <w:pPr>
        <w:pStyle w:val="Heading2"/>
      </w:pPr>
      <w:r>
        <w:t xml:space="preserve">3.2 Study Population</w:t>
      </w:r>
    </w:p>
    <w:p>
      <w:pPr>
        <w:pStyle w:val="FirstParagraph"/>
      </w:pPr>
      <w:r>
        <w:t xml:space="preserve">The study population consisted of public water systems located in Georgia. Systems were identified using the Safe Drinking Water Information System (SDWIS) database maintained by the Environmental Protection Agency. After restricting the data to systems located in Georgia, a total of 5,256 public water systems were included in the analysis. These systems were categorized by water system type, including community water systems, transient non-community water systems, and non-transient non-community water systems.</w:t>
      </w:r>
    </w:p>
    <w:bookmarkEnd w:id="25"/>
    <w:bookmarkStart w:id="26" w:name="outcome-and-predictor-variable"/>
    <w:p>
      <w:pPr>
        <w:pStyle w:val="Heading2"/>
      </w:pPr>
      <w:r>
        <w:t xml:space="preserve">3.3 Outcome and Predictor Variable</w:t>
      </w:r>
    </w:p>
    <w:p>
      <w:pPr>
        <w:pStyle w:val="FirstParagraph"/>
      </w:pPr>
      <w:r>
        <w:t xml:space="preserve">Outcome:</w:t>
      </w:r>
      <w:r>
        <w:t xml:space="preserve"> </w:t>
      </w:r>
      <w:r>
        <w:t xml:space="preserve">The primary outcome was whether a public water system in Georgia experienced at least one recorded drinking water quality violation.</w:t>
      </w:r>
    </w:p>
    <w:p>
      <w:pPr>
        <w:pStyle w:val="BodyText"/>
      </w:pPr>
      <w:r>
        <w:t xml:space="preserve">Primary Predictor:</w:t>
      </w:r>
      <w:r>
        <w:t xml:space="preserve"> </w:t>
      </w:r>
      <w:r>
        <w:t xml:space="preserve">The primary predictor was the rural versus urban classification of the water system’s service area. Rural–urban status was assigned using Rural–Urban Commuting Area (RUCA) ZIP code classifications.</w:t>
      </w:r>
      <w:r>
        <w:t xml:space="preserve"> </w:t>
      </w:r>
      <w:r>
        <w:t xml:space="preserve">* RUCA Codes ≥ 4 were defined as rural areas</w:t>
      </w:r>
      <w:r>
        <w:t xml:space="preserve"> </w:t>
      </w:r>
      <w:r>
        <w:t xml:space="preserve">* RUCA Codes 1-3 were defined as urban</w:t>
      </w:r>
    </w:p>
    <w:p>
      <w:pPr>
        <w:pStyle w:val="BodyText"/>
      </w:pPr>
      <w:r>
        <w:t xml:space="preserve">Covariates:</w:t>
      </w:r>
      <w:r>
        <w:t xml:space="preserve"> </w:t>
      </w:r>
      <w:r>
        <w:t xml:space="preserve">Additional covariates included water system type (community, transient non-community, or non-transient non-community) and the population served. Population served was log-transformed to account for the highly skewed distribution of system size.</w:t>
      </w:r>
    </w:p>
    <w:bookmarkEnd w:id="26"/>
    <w:bookmarkStart w:id="27" w:name="statistical-analysis"/>
    <w:p>
      <w:pPr>
        <w:pStyle w:val="Heading2"/>
      </w:pPr>
      <w:r>
        <w:t xml:space="preserve">3.4 Statistical Analysis</w:t>
      </w:r>
    </w:p>
    <w:p>
      <w:pPr>
        <w:pStyle w:val="FirstParagraph"/>
      </w:pPr>
      <w:r>
        <w:t xml:space="preserve">Descriptive statistics were used to summarize characteristics of the public water systems included in the study population. These summaries included counts of water systems by system type and distributional characteristics of the population served.</w:t>
      </w:r>
    </w:p>
    <w:p>
      <w:pPr>
        <w:pStyle w:val="BodyText"/>
      </w:pPr>
      <w:r>
        <w:t xml:space="preserve">Exploratory data analysis was conducted to examine patterns in the distribution of drinking water violations and system characteristics. Visualizations were used to evaluate variation in system size and to explore potential differences between rural and urban systems.</w:t>
      </w:r>
    </w:p>
    <w:p>
      <w:pPr>
        <w:pStyle w:val="BodyText"/>
      </w:pPr>
      <w:r>
        <w:t xml:space="preserve">To evaluate the association between rural status and the likelihood of experiencing a drinking water violation, a multivariable logistic regression model was fit. The model estimated the odds of experiencing at least one violation while adjusting for water system type and the log-transformed population served. Model results were summarized using odds ratios (OR) and corresponding 95% confidence intervals (CI).</w:t>
      </w:r>
    </w:p>
    <w:bookmarkEnd w:id="27"/>
    <w:bookmarkStart w:id="28" w:name="description-of-data-and-data-source"/>
    <w:p>
      <w:pPr>
        <w:pStyle w:val="Heading2"/>
      </w:pPr>
      <w:r>
        <w:t xml:space="preserve">3.5 Description of data and data source</w:t>
      </w:r>
    </w:p>
    <w:p>
      <w:pPr>
        <w:pStyle w:val="FirstParagraph"/>
      </w:pPr>
      <w:r>
        <w:t xml:space="preserve">The primary data source for this project is the Safe Drinking Water Information System (SDWIS) maintained by the Environmental Protection Agency (EPA). SDWIS is a national database maintained by the EPA to monitor compliance with the Safe Drinking Water Act. The data were collected through reports submitted by public water systems and state primacy agencies, including detailed information on water system characteristics and drinking water violations.</w:t>
      </w:r>
    </w:p>
    <w:p>
      <w:pPr>
        <w:pStyle w:val="BodyText"/>
      </w:pPr>
      <w:r>
        <w:t xml:space="preserve">Two primary SDWIS datasets were used: the first contains water system-level information including system identification numbers, system type, population served, geographic location, and ownership characteristics. The second dataset includes violation level records, documenting containment, violation type and dates.</w:t>
      </w:r>
    </w:p>
    <w:bookmarkEnd w:id="28"/>
    <w:bookmarkStart w:id="29" w:name="questionshypotheses-to-be-addressed"/>
    <w:p>
      <w:pPr>
        <w:pStyle w:val="Heading2"/>
      </w:pPr>
      <w:r>
        <w:t xml:space="preserve">3.6 Questions/Hypotheses to be addressed</w:t>
      </w:r>
    </w:p>
    <w:p>
      <w:pPr>
        <w:pStyle w:val="FirstParagraph"/>
      </w:pPr>
      <w:r>
        <w:t xml:space="preserve">The primary research question for this project is:</w:t>
      </w:r>
    </w:p>
    <w:p>
      <w:pPr>
        <w:pStyle w:val="BodyText"/>
      </w:pPr>
      <w:r>
        <w:t xml:space="preserve">Are rural public water systems in Georgia more likely to experience drinking water quality violations compared to urban water systems? The outcome of interest is the occurrence of drinking water quality violations (either as a binary indicator or collective count of violations per system). The primary predictor of interest is rural versus urban area classification of the water system’s service area. The analysis explored patterns in violation frequency and distribution across rural and urban systems and assesses whether disparities persist after accounting for system and community characteristics.</w:t>
      </w:r>
    </w:p>
    <w:bookmarkEnd w:id="29"/>
    <w:bookmarkEnd w:id="30"/>
    <w:bookmarkStart w:id="50" w:name="results"/>
    <w:p>
      <w:pPr>
        <w:pStyle w:val="Heading1"/>
      </w:pPr>
      <w:r>
        <w:t xml:space="preserve">4. Results</w:t>
      </w:r>
    </w:p>
    <w:p>
      <w:pPr>
        <w:pStyle w:val="FirstParagraph"/>
      </w:pPr>
      <w:r>
        <w:t xml:space="preserve">The dataset used for this analysis was restricted to public water systems located in Georgia (n = 5,256). The STATE_CODE variable confirms that all systems in the dataset correspond to Georgia</w:t>
      </w:r>
    </w:p>
    <w:p>
      <w:pPr>
        <w:pStyle w:val="BodyText"/>
      </w:pPr>
      <w:r>
        <w:t xml:space="preserve">Exploratory data analysis was conducted to examine characteristics of public water systems in Georgia and to understand the distribution of key variables prior to statistical modeling. These analyses focused on system type, population served, and the distribution of drinking water violations across systems.</w:t>
      </w:r>
    </w:p>
    <w:p>
      <w:pPr>
        <w:pStyle w:val="BodyText"/>
      </w:pPr>
      <w:r>
        <w:drawing>
          <wp:inline>
            <wp:extent cx="5334000" cy="3556000"/>
            <wp:effectExtent b="0" l="0" r="0" t="0"/>
            <wp:docPr descr="" title="" id="32" name="Picture"/>
            <a:graphic>
              <a:graphicData uri="http://schemas.openxmlformats.org/drawingml/2006/picture">
                <pic:pic>
                  <pic:nvPicPr>
                    <pic:cNvPr descr="Manuscript_files/figure-docx/unnamed-chunk-4-1.png" id="33" name="Picture"/>
                    <pic:cNvPicPr>
                      <a:picLocks noChangeArrowheads="1" noChangeAspect="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The distribution of population served varied widely across water systems. Approximately 25% of systems served fewer than 49 individuals, while 75% served fewer than 262 individuals, indicating that many systems in Georgia serve relatively small populations.</w:t>
      </w:r>
    </w:p>
    <w:p>
      <w:pPr>
        <w:pStyle w:val="BodyText"/>
      </w:pPr>
      <w:r>
        <w:drawing>
          <wp:inline>
            <wp:extent cx="5334000" cy="3556000"/>
            <wp:effectExtent b="0" l="0" r="0" t="0"/>
            <wp:docPr descr="" title="" id="35" name="Picture"/>
            <a:graphic>
              <a:graphicData uri="http://schemas.openxmlformats.org/drawingml/2006/picture">
                <pic:pic>
                  <pic:nvPicPr>
                    <pic:cNvPr descr="Manuscript_files/figure-docx/unnamed-chunk-7-1.png" id="36" name="Picture"/>
                    <pic:cNvPicPr>
                      <a:picLocks noChangeArrowheads="1" noChangeAspect="1"/>
                    </pic:cNvPicPr>
                  </pic:nvPicPr>
                  <pic:blipFill>
                    <a:blip r:embed="rId34"/>
                    <a:stretch>
                      <a:fillRect/>
                    </a:stretch>
                  </pic:blipFill>
                  <pic:spPr bwMode="auto">
                    <a:xfrm>
                      <a:off x="0" y="0"/>
                      <a:ext cx="5334000" cy="3556000"/>
                    </a:xfrm>
                    <a:prstGeom prst="rect">
                      <a:avLst/>
                    </a:prstGeom>
                    <a:noFill/>
                    <a:ln w="9525">
                      <a:noFill/>
                      <a:headEnd/>
                      <a:tailEnd/>
                    </a:ln>
                  </pic:spPr>
                </pic:pic>
              </a:graphicData>
            </a:graphic>
          </wp:inline>
        </w:drawing>
      </w:r>
    </w:p>
    <w:p>
      <w:pPr>
        <w:pStyle w:val="TableCaption"/>
      </w:pPr>
      <w:r>
        <w:t xml:space="preserve">Number of systems by count of drinking water violations</w:t>
      </w:r>
    </w:p>
    <w:tbl>
      <w:tblPr>
        <w:tblStyle w:val="Table"/>
        <w:tblW w:type="auto" w:w="0"/>
        <w:tblLook w:firstRow="1" w:lastRow="0" w:firstColumn="0" w:lastColumn="0" w:noHBand="0" w:noVBand="0" w:val="0020"/>
        <w:tblCaption w:val="Number of systems by count of drinking water violations"/>
      </w:tblPr>
      <w:tblGrid>
        <w:gridCol w:w="3960"/>
        <w:gridCol w:w="3960"/>
      </w:tblGrid>
      <w:tr>
        <w:trPr>
          <w:tblHeader w:val="on"/>
        </w:trPr>
        <w:tc>
          <w:tcPr/>
          <w:p>
            <w:pPr>
              <w:pStyle w:val="Compact"/>
              <w:jc w:val="right"/>
            </w:pPr>
            <w:r>
              <w:t xml:space="preserve">Violation_Count</w:t>
            </w:r>
          </w:p>
        </w:tc>
        <w:tc>
          <w:tcPr/>
          <w:p>
            <w:pPr>
              <w:pStyle w:val="Compact"/>
              <w:jc w:val="right"/>
            </w:pPr>
            <w:r>
              <w:t xml:space="preserve">Number_of_Systems</w:t>
            </w:r>
          </w:p>
        </w:tc>
      </w:tr>
      <w:tr>
        <w:tc>
          <w:tcPr/>
          <w:p>
            <w:pPr>
              <w:pStyle w:val="Compact"/>
              <w:jc w:val="right"/>
            </w:pPr>
            <w:r>
              <w:t xml:space="preserve">1</w:t>
            </w:r>
          </w:p>
        </w:tc>
        <w:tc>
          <w:tcPr/>
          <w:p>
            <w:pPr>
              <w:pStyle w:val="Compact"/>
              <w:jc w:val="right"/>
            </w:pPr>
            <w:r>
              <w:t xml:space="preserve">210</w:t>
            </w:r>
          </w:p>
        </w:tc>
      </w:tr>
      <w:tr>
        <w:tc>
          <w:tcPr/>
          <w:p>
            <w:pPr>
              <w:pStyle w:val="Compact"/>
              <w:jc w:val="right"/>
            </w:pPr>
            <w:r>
              <w:t xml:space="preserve">2</w:t>
            </w:r>
          </w:p>
        </w:tc>
        <w:tc>
          <w:tcPr/>
          <w:p>
            <w:pPr>
              <w:pStyle w:val="Compact"/>
              <w:jc w:val="right"/>
            </w:pPr>
            <w:r>
              <w:t xml:space="preserve">60</w:t>
            </w:r>
          </w:p>
        </w:tc>
      </w:tr>
      <w:tr>
        <w:tc>
          <w:tcPr/>
          <w:p>
            <w:pPr>
              <w:pStyle w:val="Compact"/>
              <w:jc w:val="right"/>
            </w:pPr>
            <w:r>
              <w:t xml:space="preserve">3</w:t>
            </w:r>
          </w:p>
        </w:tc>
        <w:tc>
          <w:tcPr/>
          <w:p>
            <w:pPr>
              <w:pStyle w:val="Compact"/>
              <w:jc w:val="right"/>
            </w:pPr>
            <w:r>
              <w:t xml:space="preserve">39</w:t>
            </w:r>
          </w:p>
        </w:tc>
      </w:tr>
      <w:tr>
        <w:tc>
          <w:tcPr/>
          <w:p>
            <w:pPr>
              <w:pStyle w:val="Compact"/>
              <w:jc w:val="right"/>
            </w:pPr>
            <w:r>
              <w:t xml:space="preserve">4</w:t>
            </w:r>
          </w:p>
        </w:tc>
        <w:tc>
          <w:tcPr/>
          <w:p>
            <w:pPr>
              <w:pStyle w:val="Compact"/>
              <w:jc w:val="right"/>
            </w:pPr>
            <w:r>
              <w:t xml:space="preserve">16</w:t>
            </w:r>
          </w:p>
        </w:tc>
      </w:tr>
      <w:tr>
        <w:tc>
          <w:tcPr/>
          <w:p>
            <w:pPr>
              <w:pStyle w:val="Compact"/>
              <w:jc w:val="right"/>
            </w:pPr>
            <w:r>
              <w:t xml:space="preserve">5</w:t>
            </w:r>
          </w:p>
        </w:tc>
        <w:tc>
          <w:tcPr/>
          <w:p>
            <w:pPr>
              <w:pStyle w:val="Compact"/>
              <w:jc w:val="right"/>
            </w:pPr>
            <w:r>
              <w:t xml:space="preserve">4</w:t>
            </w:r>
          </w:p>
        </w:tc>
      </w:tr>
      <w:tr>
        <w:tc>
          <w:tcPr/>
          <w:p>
            <w:pPr>
              <w:pStyle w:val="Compact"/>
              <w:jc w:val="right"/>
            </w:pPr>
            <w:r>
              <w:t xml:space="preserve">6</w:t>
            </w:r>
          </w:p>
        </w:tc>
        <w:tc>
          <w:tcPr/>
          <w:p>
            <w:pPr>
              <w:pStyle w:val="Compact"/>
              <w:jc w:val="right"/>
            </w:pPr>
            <w:r>
              <w:t xml:space="preserve">6</w:t>
            </w:r>
          </w:p>
        </w:tc>
      </w:tr>
      <w:tr>
        <w:tc>
          <w:tcPr/>
          <w:p>
            <w:pPr>
              <w:pStyle w:val="Compact"/>
              <w:jc w:val="right"/>
            </w:pPr>
            <w:r>
              <w:t xml:space="preserve">7</w:t>
            </w:r>
          </w:p>
        </w:tc>
        <w:tc>
          <w:tcPr/>
          <w:p>
            <w:pPr>
              <w:pStyle w:val="Compact"/>
              <w:jc w:val="right"/>
            </w:pPr>
            <w:r>
              <w:t xml:space="preserve">6</w:t>
            </w:r>
          </w:p>
        </w:tc>
      </w:tr>
      <w:tr>
        <w:tc>
          <w:tcPr/>
          <w:p>
            <w:pPr>
              <w:pStyle w:val="Compact"/>
              <w:jc w:val="right"/>
            </w:pPr>
            <w:r>
              <w:t xml:space="preserve">8</w:t>
            </w:r>
          </w:p>
        </w:tc>
        <w:tc>
          <w:tcPr/>
          <w:p>
            <w:pPr>
              <w:pStyle w:val="Compact"/>
              <w:jc w:val="right"/>
            </w:pPr>
            <w:r>
              <w:t xml:space="preserve">3</w:t>
            </w:r>
          </w:p>
        </w:tc>
      </w:tr>
      <w:tr>
        <w:tc>
          <w:tcPr/>
          <w:p>
            <w:pPr>
              <w:pStyle w:val="Compact"/>
              <w:jc w:val="right"/>
            </w:pPr>
            <w:r>
              <w:t xml:space="preserve">9</w:t>
            </w:r>
          </w:p>
        </w:tc>
        <w:tc>
          <w:tcPr/>
          <w:p>
            <w:pPr>
              <w:pStyle w:val="Compact"/>
              <w:jc w:val="right"/>
            </w:pPr>
            <w:r>
              <w:t xml:space="preserve">2</w:t>
            </w:r>
          </w:p>
        </w:tc>
      </w:tr>
      <w:tr>
        <w:tc>
          <w:tcPr/>
          <w:p>
            <w:pPr>
              <w:pStyle w:val="Compact"/>
              <w:jc w:val="right"/>
            </w:pPr>
            <w:r>
              <w:t xml:space="preserve">12</w:t>
            </w:r>
          </w:p>
        </w:tc>
        <w:tc>
          <w:tcPr/>
          <w:p>
            <w:pPr>
              <w:pStyle w:val="Compact"/>
              <w:jc w:val="right"/>
            </w:pPr>
            <w:r>
              <w:t xml:space="preserve">17</w:t>
            </w:r>
          </w:p>
        </w:tc>
      </w:tr>
      <w:tr>
        <w:tc>
          <w:tcPr/>
          <w:p>
            <w:pPr>
              <w:pStyle w:val="Compact"/>
              <w:jc w:val="right"/>
            </w:pPr>
            <w:r>
              <w:t xml:space="preserve">13</w:t>
            </w:r>
          </w:p>
        </w:tc>
        <w:tc>
          <w:tcPr/>
          <w:p>
            <w:pPr>
              <w:pStyle w:val="Compact"/>
              <w:jc w:val="right"/>
            </w:pPr>
            <w:r>
              <w:t xml:space="preserve">4</w:t>
            </w:r>
          </w:p>
        </w:tc>
      </w:tr>
      <w:tr>
        <w:tc>
          <w:tcPr/>
          <w:p>
            <w:pPr>
              <w:pStyle w:val="Compact"/>
              <w:jc w:val="right"/>
            </w:pPr>
            <w:r>
              <w:t xml:space="preserve">14</w:t>
            </w:r>
          </w:p>
        </w:tc>
        <w:tc>
          <w:tcPr/>
          <w:p>
            <w:pPr>
              <w:pStyle w:val="Compact"/>
              <w:jc w:val="right"/>
            </w:pPr>
            <w:r>
              <w:t xml:space="preserve">6</w:t>
            </w:r>
          </w:p>
        </w:tc>
      </w:tr>
      <w:tr>
        <w:tc>
          <w:tcPr/>
          <w:p>
            <w:pPr>
              <w:pStyle w:val="Compact"/>
              <w:jc w:val="right"/>
            </w:pPr>
            <w:r>
              <w:t xml:space="preserve">15</w:t>
            </w:r>
          </w:p>
        </w:tc>
        <w:tc>
          <w:tcPr/>
          <w:p>
            <w:pPr>
              <w:pStyle w:val="Compact"/>
              <w:jc w:val="right"/>
            </w:pPr>
            <w:r>
              <w:t xml:space="preserve">2</w:t>
            </w:r>
          </w:p>
        </w:tc>
      </w:tr>
      <w:tr>
        <w:tc>
          <w:tcPr/>
          <w:p>
            <w:pPr>
              <w:pStyle w:val="Compact"/>
              <w:jc w:val="right"/>
            </w:pPr>
            <w:r>
              <w:t xml:space="preserve">16</w:t>
            </w:r>
          </w:p>
        </w:tc>
        <w:tc>
          <w:tcPr/>
          <w:p>
            <w:pPr>
              <w:pStyle w:val="Compact"/>
              <w:jc w:val="right"/>
            </w:pPr>
            <w:r>
              <w:t xml:space="preserve">1</w:t>
            </w:r>
          </w:p>
        </w:tc>
      </w:tr>
      <w:tr>
        <w:tc>
          <w:tcPr/>
          <w:p>
            <w:pPr>
              <w:pStyle w:val="Compact"/>
              <w:jc w:val="right"/>
            </w:pPr>
            <w:r>
              <w:t xml:space="preserve">20</w:t>
            </w:r>
          </w:p>
        </w:tc>
        <w:tc>
          <w:tcPr/>
          <w:p>
            <w:pPr>
              <w:pStyle w:val="Compact"/>
              <w:jc w:val="right"/>
            </w:pPr>
            <w:r>
              <w:t xml:space="preserve">1</w:t>
            </w:r>
          </w:p>
        </w:tc>
      </w:tr>
      <w:tr>
        <w:tc>
          <w:tcPr/>
          <w:p>
            <w:pPr>
              <w:pStyle w:val="Compact"/>
              <w:jc w:val="right"/>
            </w:pPr>
            <w:r>
              <w:t xml:space="preserve">24</w:t>
            </w:r>
          </w:p>
        </w:tc>
        <w:tc>
          <w:tcPr/>
          <w:p>
            <w:pPr>
              <w:pStyle w:val="Compact"/>
              <w:jc w:val="right"/>
            </w:pPr>
            <w:r>
              <w:t xml:space="preserve">5</w:t>
            </w:r>
          </w:p>
        </w:tc>
      </w:tr>
      <w:tr>
        <w:tc>
          <w:tcPr/>
          <w:p>
            <w:pPr>
              <w:pStyle w:val="Compact"/>
              <w:jc w:val="right"/>
            </w:pPr>
            <w:r>
              <w:t xml:space="preserve">36</w:t>
            </w:r>
          </w:p>
        </w:tc>
        <w:tc>
          <w:tcPr/>
          <w:p>
            <w:pPr>
              <w:pStyle w:val="Compact"/>
              <w:jc w:val="right"/>
            </w:pPr>
            <w:r>
              <w:t xml:space="preserve">1</w:t>
            </w:r>
          </w:p>
        </w:tc>
      </w:tr>
      <w:tr>
        <w:tc>
          <w:tcPr/>
          <w:p>
            <w:pPr>
              <w:pStyle w:val="Compact"/>
              <w:jc w:val="right"/>
            </w:pPr>
            <w:r>
              <w:t xml:space="preserve">48</w:t>
            </w:r>
          </w:p>
        </w:tc>
        <w:tc>
          <w:tcPr/>
          <w:p>
            <w:pPr>
              <w:pStyle w:val="Compact"/>
              <w:jc w:val="right"/>
            </w:pPr>
            <w:r>
              <w:t xml:space="preserve">1</w:t>
            </w:r>
          </w:p>
        </w:tc>
      </w:tr>
      <w:tr>
        <w:tc>
          <w:tcPr/>
          <w:p>
            <w:pPr>
              <w:pStyle w:val="Compact"/>
              <w:jc w:val="right"/>
            </w:pPr>
            <w:r>
              <w:t xml:space="preserve">60</w:t>
            </w:r>
          </w:p>
        </w:tc>
        <w:tc>
          <w:tcPr/>
          <w:p>
            <w:pPr>
              <w:pStyle w:val="Compact"/>
              <w:jc w:val="right"/>
            </w:pPr>
            <w:r>
              <w:t xml:space="preserve">1</w:t>
            </w:r>
          </w:p>
        </w:tc>
      </w:tr>
      <w:tr>
        <w:tc>
          <w:tcPr/>
          <w:p>
            <w:pPr>
              <w:pStyle w:val="Compact"/>
              <w:jc w:val="right"/>
            </w:pPr>
            <w:r>
              <w:t xml:space="preserve">71</w:t>
            </w:r>
          </w:p>
        </w:tc>
        <w:tc>
          <w:tcPr/>
          <w:p>
            <w:pPr>
              <w:pStyle w:val="Compact"/>
              <w:jc w:val="right"/>
            </w:pPr>
            <w:r>
              <w:t xml:space="preserve">1</w:t>
            </w:r>
          </w:p>
        </w:tc>
      </w:tr>
    </w:tbl>
    <w:p>
      <w:pPr>
        <w:pStyle w:val="BodyText"/>
      </w:pPr>
      <w:r>
        <w:drawing>
          <wp:inline>
            <wp:extent cx="5334000" cy="3556000"/>
            <wp:effectExtent b="0" l="0" r="0" t="0"/>
            <wp:docPr descr="" title="" id="38" name="Picture"/>
            <a:graphic>
              <a:graphicData uri="http://schemas.openxmlformats.org/drawingml/2006/picture">
                <pic:pic>
                  <pic:nvPicPr>
                    <pic:cNvPr descr="Manuscript_files/figure-docx/unnamed-chunk-10-1.png" id="39" name="Picture"/>
                    <pic:cNvPicPr>
                      <a:picLocks noChangeArrowheads="1" noChangeAspect="1"/>
                    </pic:cNvPicPr>
                  </pic:nvPicPr>
                  <pic:blipFill>
                    <a:blip r:embed="rId3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The majority of public water systems had no recorded drinking water violations. However, a smaller subset of systems experienced one or more violations, indicating that violations were relatively uncommon overall but still present across multiple systems.</w:t>
      </w:r>
    </w:p>
    <w:bookmarkStart w:id="40" w:name="inferential-analysis"/>
    <w:p>
      <w:pPr>
        <w:pStyle w:val="Heading2"/>
      </w:pPr>
      <w:r>
        <w:t xml:space="preserve">4.1 Inferential Analysis</w:t>
      </w:r>
    </w:p>
    <w:p>
      <w:pPr>
        <w:pStyle w:val="FirstParagraph"/>
      </w:pPr>
      <w:r>
        <w:t xml:space="preserve">Moving forward to formally evaluate whether rural public water systems in Georgia are more likely to experience drinking water violations compared to urban systems, a multivariable logistic regression model was fit. The outcome of interest was whether a system experienced at least one violation. The primary predictor of interest was rural versus urban classification. The model additionally adjusted for population served and water system type to account for potential confounding.</w:t>
      </w:r>
    </w:p>
    <w:bookmarkEnd w:id="40"/>
    <w:bookmarkStart w:id="41" w:name="creating-system-level-violation-counts"/>
    <w:p>
      <w:pPr>
        <w:pStyle w:val="Heading2"/>
      </w:pPr>
      <w:r>
        <w:t xml:space="preserve">4.2 Creating System-Level Violation Counts</w:t>
      </w:r>
    </w:p>
    <w:p>
      <w:pPr>
        <w:pStyle w:val="FirstParagraph"/>
      </w:pPr>
      <w:r>
        <w:t xml:space="preserve">System-level violation counts were calculated. Among Georgia public water systems, 8.5% had at least one recorded violation, while 91.5% had none.</w:t>
      </w:r>
    </w:p>
    <w:bookmarkEnd w:id="41"/>
    <w:bookmarkStart w:id="42" w:name="merging-rural-urban-classification"/>
    <w:p>
      <w:pPr>
        <w:pStyle w:val="Heading2"/>
      </w:pPr>
      <w:r>
        <w:t xml:space="preserve">4.3 Merging Rural-Urban Classification</w:t>
      </w:r>
    </w:p>
    <w:p>
      <w:pPr>
        <w:pStyle w:val="FirstParagraph"/>
      </w:pPr>
      <w:r>
        <w:t xml:space="preserve">Rural-urban classification was assigned using RUCA codes: codes 1-3 urban, ≥4 as rural. Systems with missing RUCA values were excluded.</w:t>
      </w:r>
    </w:p>
    <w:p>
      <w:pPr>
        <w:pStyle w:val="TableCaption"/>
      </w:pPr>
      <w:r>
        <w:t xml:space="preserve">First 6 rows of ZIP code, RUCA code, and rural indicator</w:t>
      </w:r>
    </w:p>
    <w:tbl>
      <w:tblPr>
        <w:tblStyle w:val="Table"/>
        <w:tblW w:type="auto" w:w="0"/>
        <w:tblLook w:firstRow="1" w:lastRow="0" w:firstColumn="0" w:lastColumn="0" w:noHBand="0" w:noVBand="0" w:val="0020"/>
        <w:tblCaption w:val="First 6 rows of ZIP code, RUCA code, and rural indicator"/>
      </w:tblPr>
      <w:tblGrid>
        <w:gridCol w:w="2640"/>
        <w:gridCol w:w="2640"/>
        <w:gridCol w:w="2640"/>
      </w:tblGrid>
      <w:tr>
        <w:trPr>
          <w:tblHeader w:val="on"/>
        </w:trPr>
        <w:tc>
          <w:tcPr/>
          <w:p>
            <w:pPr>
              <w:pStyle w:val="Compact"/>
              <w:jc w:val="left"/>
            </w:pPr>
            <w:r>
              <w:t xml:space="preserve">ZIP_CODE</w:t>
            </w:r>
          </w:p>
        </w:tc>
        <w:tc>
          <w:tcPr/>
          <w:p>
            <w:pPr>
              <w:pStyle w:val="Compact"/>
              <w:jc w:val="right"/>
            </w:pPr>
            <w:r>
              <w:t xml:space="preserve">PrimaryRUCA</w:t>
            </w:r>
          </w:p>
        </w:tc>
        <w:tc>
          <w:tcPr/>
          <w:p>
            <w:pPr>
              <w:pStyle w:val="Compact"/>
              <w:jc w:val="right"/>
            </w:pPr>
            <w:r>
              <w:t xml:space="preserve">rural</w:t>
            </w:r>
          </w:p>
        </w:tc>
      </w:tr>
      <w:tr>
        <w:tc>
          <w:tcPr/>
          <w:p>
            <w:pPr>
              <w:pStyle w:val="Compact"/>
              <w:jc w:val="left"/>
            </w:pPr>
            <w:r>
              <w:t xml:space="preserve">304585591</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30731</w:t>
            </w:r>
          </w:p>
        </w:tc>
        <w:tc>
          <w:tcPr/>
          <w:p>
            <w:pPr>
              <w:pStyle w:val="Compact"/>
              <w:jc w:val="right"/>
            </w:pPr>
            <w:r>
              <w:t xml:space="preserve">10</w:t>
            </w:r>
          </w:p>
        </w:tc>
        <w:tc>
          <w:tcPr/>
          <w:p>
            <w:pPr>
              <w:pStyle w:val="Compact"/>
              <w:jc w:val="right"/>
            </w:pPr>
            <w:r>
              <w:t xml:space="preserve">1</w:t>
            </w:r>
          </w:p>
        </w:tc>
      </w:tr>
      <w:tr>
        <w:tc>
          <w:tcPr/>
          <w:p>
            <w:pPr>
              <w:pStyle w:val="Compact"/>
              <w:jc w:val="left"/>
            </w:pPr>
            <w:r>
              <w:t xml:space="preserve">317510000</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31751</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31751</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31751</w:t>
            </w:r>
          </w:p>
        </w:tc>
        <w:tc>
          <w:tcPr/>
          <w:p>
            <w:pPr>
              <w:pStyle w:val="Compact"/>
              <w:jc w:val="right"/>
            </w:pPr>
            <w:r>
              <w:t xml:space="preserve">NA</w:t>
            </w:r>
          </w:p>
        </w:tc>
        <w:tc>
          <w:tcPr/>
          <w:p>
            <w:pPr>
              <w:pStyle w:val="Compact"/>
              <w:jc w:val="right"/>
            </w:pPr>
            <w:r>
              <w:t xml:space="preserve">NA</w:t>
            </w:r>
          </w:p>
        </w:tc>
      </w:tr>
    </w:tbl>
    <w:p>
      <w:pPr>
        <w:pStyle w:val="TableCaption"/>
      </w:pPr>
      <w:r>
        <w:t xml:space="preserve">Counts of rural indicator (0 = urban, 1 = rural, NA = missing)</w:t>
      </w:r>
    </w:p>
    <w:tbl>
      <w:tblPr>
        <w:tblStyle w:val="Table"/>
        <w:tblW w:type="auto" w:w="0"/>
        <w:tblLook w:firstRow="1" w:lastRow="0" w:firstColumn="0" w:lastColumn="0" w:noHBand="0" w:noVBand="0" w:val="0020"/>
        <w:tblCaption w:val="Counts of rural indicator (0 = urban, 1 = rural, NA = missing)"/>
      </w:tblPr>
      <w:tblGrid>
        <w:gridCol w:w="3960"/>
        <w:gridCol w:w="3960"/>
      </w:tblGrid>
      <w:tr>
        <w:trPr>
          <w:tblHeader w:val="on"/>
        </w:trPr>
        <w:tc>
          <w:tcPr/>
          <w:p>
            <w:pPr>
              <w:pStyle w:val="Compact"/>
              <w:jc w:val="right"/>
            </w:pPr>
            <w:r>
              <w:t xml:space="preserve">Rural Indicator</w:t>
            </w:r>
          </w:p>
        </w:tc>
        <w:tc>
          <w:tcPr/>
          <w:p>
            <w:pPr>
              <w:pStyle w:val="Compact"/>
              <w:jc w:val="right"/>
            </w:pPr>
            <w:r>
              <w:t xml:space="preserve">Number of ZIP Codes</w:t>
            </w:r>
          </w:p>
        </w:tc>
      </w:tr>
      <w:tr>
        <w:tc>
          <w:tcPr/>
          <w:p>
            <w:pPr>
              <w:pStyle w:val="Compact"/>
              <w:jc w:val="right"/>
            </w:pPr>
            <w:r>
              <w:t xml:space="preserve">0</w:t>
            </w:r>
          </w:p>
        </w:tc>
        <w:tc>
          <w:tcPr/>
          <w:p>
            <w:pPr>
              <w:pStyle w:val="Compact"/>
              <w:jc w:val="right"/>
            </w:pPr>
            <w:r>
              <w:t xml:space="preserve">2186</w:t>
            </w:r>
          </w:p>
        </w:tc>
      </w:tr>
      <w:tr>
        <w:tc>
          <w:tcPr/>
          <w:p>
            <w:pPr>
              <w:pStyle w:val="Compact"/>
              <w:jc w:val="right"/>
            </w:pPr>
            <w:r>
              <w:t xml:space="preserve">1</w:t>
            </w:r>
          </w:p>
        </w:tc>
        <w:tc>
          <w:tcPr/>
          <w:p>
            <w:pPr>
              <w:pStyle w:val="Compact"/>
              <w:jc w:val="right"/>
            </w:pPr>
            <w:r>
              <w:t xml:space="preserve">1653</w:t>
            </w:r>
          </w:p>
        </w:tc>
      </w:tr>
      <w:tr>
        <w:tc>
          <w:tcPr/>
          <w:p>
            <w:pPr>
              <w:pStyle w:val="Compact"/>
              <w:jc w:val="right"/>
            </w:pPr>
            <w:r>
              <w:t xml:space="preserve">NA</w:t>
            </w:r>
          </w:p>
        </w:tc>
        <w:tc>
          <w:tcPr/>
          <w:p>
            <w:pPr>
              <w:pStyle w:val="Compact"/>
              <w:jc w:val="right"/>
            </w:pPr>
            <w:r>
              <w:t xml:space="preserve">1417</w:t>
            </w:r>
          </w:p>
        </w:tc>
      </w:tr>
    </w:tbl>
    <w:p>
      <w:pPr>
        <w:pStyle w:val="BodyText"/>
      </w:pPr>
      <w:r>
        <w:t xml:space="preserve">Rural indicator (rural) was created using the PrimaryRUCA codes from the RUCA ZIPCode dataset. For ZIP codes in the water systems data that did not have a corresponding RUCA code, the rural value is NA. These NA values are currently kept in the dataset to indicate missing RUCA information. The majority of public water systems had no recorded drinking water violations. Systems with missing RUCA classifications were removed from the dataset to ensure accurate rural-urban classification in subsequent analyses.</w:t>
      </w:r>
    </w:p>
    <w:p>
      <w:pPr>
        <w:pStyle w:val="SourceCode"/>
      </w:pPr>
      <w:r>
        <w:br/>
      </w:r>
      <w:r>
        <w:rPr>
          <w:rStyle w:val="VerbatimChar"/>
        </w:rPr>
        <w:t xml:space="preserve">   0    1 </w:t>
      </w:r>
      <w:r>
        <w:br/>
      </w:r>
      <w:r>
        <w:rPr>
          <w:rStyle w:val="VerbatimChar"/>
        </w:rPr>
        <w:t xml:space="preserve">2186 1653 </w:t>
      </w:r>
    </w:p>
    <w:p>
      <w:pPr>
        <w:pStyle w:val="SourceCode"/>
      </w:pPr>
      <w:r>
        <w:rPr>
          <w:rStyle w:val="VerbatimChar"/>
        </w:rPr>
        <w:t xml:space="preserve">[1] 3839</w:t>
      </w:r>
    </w:p>
    <w:bookmarkEnd w:id="42"/>
    <w:bookmarkStart w:id="43" w:name="creating-a-binary-outcome-system"/>
    <w:p>
      <w:pPr>
        <w:pStyle w:val="Heading2"/>
      </w:pPr>
      <w:r>
        <w:t xml:space="preserve">4.4 Creating A Binary Outcome System</w:t>
      </w:r>
    </w:p>
    <w:p>
      <w:pPr>
        <w:pStyle w:val="FirstParagraph"/>
      </w:pPr>
      <w:r>
        <w:t xml:space="preserve">A binary outcome was created to indicate whether a system had ≥1 violation. Violations were relatively uncommon, affecting 8.5% of systems.</w:t>
      </w:r>
    </w:p>
    <w:p>
      <w:pPr>
        <w:pStyle w:val="SourceCode"/>
      </w:pPr>
      <w:r>
        <w:br/>
      </w:r>
      <w:r>
        <w:rPr>
          <w:rStyle w:val="VerbatimChar"/>
        </w:rPr>
        <w:t xml:space="preserve">   0    1 </w:t>
      </w:r>
      <w:r>
        <w:br/>
      </w:r>
      <w:r>
        <w:rPr>
          <w:rStyle w:val="VerbatimChar"/>
        </w:rPr>
        <w:t xml:space="preserve">3513  326 </w:t>
      </w:r>
    </w:p>
    <w:p>
      <w:pPr>
        <w:pStyle w:val="SourceCode"/>
      </w:pPr>
      <w:r>
        <w:br/>
      </w:r>
      <w:r>
        <w:rPr>
          <w:rStyle w:val="VerbatimChar"/>
        </w:rPr>
        <w:t xml:space="preserve">         0          1 </w:t>
      </w:r>
      <w:r>
        <w:br/>
      </w:r>
      <w:r>
        <w:rPr>
          <w:rStyle w:val="VerbatimChar"/>
        </w:rPr>
        <w:t xml:space="preserve">0.91508205 0.08491795 </w:t>
      </w:r>
    </w:p>
    <w:bookmarkEnd w:id="43"/>
    <w:bookmarkStart w:id="44" w:name="preparing-modeling-variables"/>
    <w:p>
      <w:pPr>
        <w:pStyle w:val="Heading2"/>
      </w:pPr>
      <w:r>
        <w:t xml:space="preserve">4.5 Preparing Modeling Variables</w:t>
      </w:r>
    </w:p>
    <w:p>
      <w:pPr>
        <w:pStyle w:val="FirstParagraph"/>
      </w:pPr>
      <w:r>
        <w:t xml:space="preserve">Population served was log-transformed due to right-skew. Rural status and water system type were treated as categorical variables.</w:t>
      </w:r>
    </w:p>
    <w:p>
      <w:pPr>
        <w:pStyle w:val="SourceCode"/>
      </w:pPr>
      <w:r>
        <w:rPr>
          <w:rStyle w:val="VerbatimChar"/>
        </w:rPr>
        <w:t xml:space="preserve">   Min. 1st Qu.  Median    Mean 3rd Qu.    Max. </w:t>
      </w:r>
      <w:r>
        <w:br/>
      </w:r>
      <w:r>
        <w:rPr>
          <w:rStyle w:val="VerbatimChar"/>
        </w:rPr>
        <w:t xml:space="preserve">  0.000   3.912   4.605   4.994   5.667  13.902 </w:t>
      </w:r>
    </w:p>
    <w:bookmarkEnd w:id="44"/>
    <w:bookmarkStart w:id="45" w:name="logistic-regression"/>
    <w:p>
      <w:pPr>
        <w:pStyle w:val="Heading2"/>
      </w:pPr>
      <w:r>
        <w:t xml:space="preserve">4.6 Logistic Regression</w:t>
      </w:r>
    </w:p>
    <w:p>
      <w:pPr>
        <w:pStyle w:val="FirstParagraph"/>
      </w:pPr>
      <w:r>
        <w:t xml:space="preserve">Results from the multivariable logistic regression indicated that rural public water systems had higher odds of experiencing at least one drinking water violation compared with urban systems (OR = 1.84, 95% CI: 1.46–2.33). Larger systems also had slightly higher odds of violations, with an odds ratio of 1.15 per unit increase in log-transformed population served (95% CI: 1.08–1.22).</w:t>
      </w:r>
    </w:p>
    <w:p>
      <w:pPr>
        <w:pStyle w:val="BodyText"/>
      </w:pPr>
      <w:r>
        <w:t xml:space="preserve">Compared with community water systems, non-transient non-community water systems had substantially lower odds of violations (OR = 0.37, 95% CI: 0.21–0.61), and transient non-community water systems also had lower odds (OR = 0.51, 95% CI: 0.39–0.68). Overall, these results suggest that rural systems may face greater challenges in maintaining drinking water compliance, even after accounting for system size and system type.</w:t>
      </w:r>
    </w:p>
    <w:p>
      <w:pPr>
        <w:pStyle w:val="TableCaption"/>
      </w:pPr>
      <w:r>
        <w:t xml:space="preserve">Odds ratios and 95% confidence intervals from logistic regression predicting at least one violation</w:t>
      </w:r>
    </w:p>
    <w:tbl>
      <w:tblPr>
        <w:tblStyle w:val="Table"/>
        <w:tblW w:type="auto" w:w="0"/>
        <w:tblLook w:firstRow="1" w:lastRow="0" w:firstColumn="0" w:lastColumn="0" w:noHBand="0" w:noVBand="0" w:val="0020"/>
        <w:tblCaption w:val="Odds ratios and 95% confidence intervals from logistic regression predicting at least one violation"/>
      </w:tblPr>
      <w:tblGrid>
        <w:gridCol w:w="1584"/>
        <w:gridCol w:w="1584"/>
        <w:gridCol w:w="1584"/>
        <w:gridCol w:w="1584"/>
        <w:gridCol w:w="1584"/>
      </w:tblGrid>
      <w:tr>
        <w:trPr>
          <w:tblHeader w:val="on"/>
        </w:trPr>
        <w:tc>
          <w:tcPr/>
          <w:p>
            <w:pPr>
              <w:pStyle w:val="Compact"/>
              <w:jc w:val="left"/>
            </w:pPr>
            <w:r>
              <w:t xml:space="preserve">Predictor</w:t>
            </w:r>
          </w:p>
        </w:tc>
        <w:tc>
          <w:tcPr/>
          <w:p>
            <w:pPr>
              <w:pStyle w:val="Compact"/>
              <w:jc w:val="right"/>
            </w:pPr>
            <w:r>
              <w:t xml:space="preserve">OR</w:t>
            </w:r>
          </w:p>
        </w:tc>
        <w:tc>
          <w:tcPr/>
          <w:p>
            <w:pPr>
              <w:pStyle w:val="Compact"/>
              <w:jc w:val="right"/>
            </w:pPr>
            <w:r>
              <w:t xml:space="preserve">95% CI Lower</w:t>
            </w:r>
          </w:p>
        </w:tc>
        <w:tc>
          <w:tcPr/>
          <w:p>
            <w:pPr>
              <w:pStyle w:val="Compact"/>
              <w:jc w:val="right"/>
            </w:pPr>
            <w:r>
              <w:t xml:space="preserve">95% CI Upper</w:t>
            </w:r>
          </w:p>
        </w:tc>
        <w:tc>
          <w:tcPr/>
          <w:p>
            <w:pPr>
              <w:pStyle w:val="Compact"/>
              <w:jc w:val="right"/>
            </w:pPr>
            <w:r>
              <w:t xml:space="preserve">p-value</w:t>
            </w:r>
          </w:p>
        </w:tc>
      </w:tr>
      <w:tr>
        <w:tc>
          <w:tcPr/>
          <w:p>
            <w:pPr>
              <w:pStyle w:val="Compact"/>
              <w:jc w:val="left"/>
            </w:pPr>
            <w:r>
              <w:t xml:space="preserve">rural1</w:t>
            </w:r>
          </w:p>
        </w:tc>
        <w:tc>
          <w:tcPr/>
          <w:p>
            <w:pPr>
              <w:pStyle w:val="Compact"/>
              <w:jc w:val="right"/>
            </w:pPr>
            <w:r>
              <w:t xml:space="preserve">1.84</w:t>
            </w:r>
          </w:p>
        </w:tc>
        <w:tc>
          <w:tcPr/>
          <w:p>
            <w:pPr>
              <w:pStyle w:val="Compact"/>
              <w:jc w:val="right"/>
            </w:pPr>
            <w:r>
              <w:t xml:space="preserve">1.46</w:t>
            </w:r>
          </w:p>
        </w:tc>
        <w:tc>
          <w:tcPr/>
          <w:p>
            <w:pPr>
              <w:pStyle w:val="Compact"/>
              <w:jc w:val="right"/>
            </w:pPr>
            <w:r>
              <w:t xml:space="preserve">2.33</w:t>
            </w:r>
          </w:p>
        </w:tc>
        <w:tc>
          <w:tcPr/>
          <w:p>
            <w:pPr>
              <w:pStyle w:val="Compact"/>
              <w:jc w:val="right"/>
            </w:pPr>
            <w:r>
              <w:t xml:space="preserve">3.00e-07</w:t>
            </w:r>
          </w:p>
        </w:tc>
      </w:tr>
      <w:tr>
        <w:tc>
          <w:tcPr/>
          <w:p>
            <w:pPr>
              <w:pStyle w:val="Compact"/>
              <w:jc w:val="left"/>
            </w:pPr>
            <w:r>
              <w:t xml:space="preserve">log_population</w:t>
            </w:r>
          </w:p>
        </w:tc>
        <w:tc>
          <w:tcPr/>
          <w:p>
            <w:pPr>
              <w:pStyle w:val="Compact"/>
              <w:jc w:val="right"/>
            </w:pPr>
            <w:r>
              <w:t xml:space="preserve">1.15</w:t>
            </w:r>
          </w:p>
        </w:tc>
        <w:tc>
          <w:tcPr/>
          <w:p>
            <w:pPr>
              <w:pStyle w:val="Compact"/>
              <w:jc w:val="right"/>
            </w:pPr>
            <w:r>
              <w:t xml:space="preserve">1.08</w:t>
            </w:r>
          </w:p>
        </w:tc>
        <w:tc>
          <w:tcPr/>
          <w:p>
            <w:pPr>
              <w:pStyle w:val="Compact"/>
              <w:jc w:val="right"/>
            </w:pPr>
            <w:r>
              <w:t xml:space="preserve">1.22</w:t>
            </w:r>
          </w:p>
        </w:tc>
        <w:tc>
          <w:tcPr/>
          <w:p>
            <w:pPr>
              <w:pStyle w:val="Compact"/>
              <w:jc w:val="right"/>
            </w:pPr>
            <w:r>
              <w:t xml:space="preserve">1.50e-05</w:t>
            </w:r>
          </w:p>
        </w:tc>
      </w:tr>
      <w:tr>
        <w:tc>
          <w:tcPr/>
          <w:p>
            <w:pPr>
              <w:pStyle w:val="Compact"/>
              <w:jc w:val="left"/>
            </w:pPr>
            <w:r>
              <w:t xml:space="preserve">PWS_TYPE_CODENTNCWS</w:t>
            </w:r>
          </w:p>
        </w:tc>
        <w:tc>
          <w:tcPr/>
          <w:p>
            <w:pPr>
              <w:pStyle w:val="Compact"/>
              <w:jc w:val="right"/>
            </w:pPr>
            <w:r>
              <w:t xml:space="preserve">0.37</w:t>
            </w:r>
          </w:p>
        </w:tc>
        <w:tc>
          <w:tcPr/>
          <w:p>
            <w:pPr>
              <w:pStyle w:val="Compact"/>
              <w:jc w:val="right"/>
            </w:pPr>
            <w:r>
              <w:t xml:space="preserve">0.21</w:t>
            </w:r>
          </w:p>
        </w:tc>
        <w:tc>
          <w:tcPr/>
          <w:p>
            <w:pPr>
              <w:pStyle w:val="Compact"/>
              <w:jc w:val="right"/>
            </w:pPr>
            <w:r>
              <w:t xml:space="preserve">0.61</w:t>
            </w:r>
          </w:p>
        </w:tc>
        <w:tc>
          <w:tcPr/>
          <w:p>
            <w:pPr>
              <w:pStyle w:val="Compact"/>
              <w:jc w:val="right"/>
            </w:pPr>
            <w:r>
              <w:t xml:space="preserve">3.11e-04</w:t>
            </w:r>
          </w:p>
        </w:tc>
      </w:tr>
      <w:tr>
        <w:tc>
          <w:tcPr/>
          <w:p>
            <w:pPr>
              <w:pStyle w:val="Compact"/>
              <w:jc w:val="left"/>
            </w:pPr>
            <w:r>
              <w:t xml:space="preserve">PWS_TYPE_CODETNCWS</w:t>
            </w:r>
          </w:p>
        </w:tc>
        <w:tc>
          <w:tcPr/>
          <w:p>
            <w:pPr>
              <w:pStyle w:val="Compact"/>
              <w:jc w:val="right"/>
            </w:pPr>
            <w:r>
              <w:t xml:space="preserve">0.51</w:t>
            </w:r>
          </w:p>
        </w:tc>
        <w:tc>
          <w:tcPr/>
          <w:p>
            <w:pPr>
              <w:pStyle w:val="Compact"/>
              <w:jc w:val="right"/>
            </w:pPr>
            <w:r>
              <w:t xml:space="preserve">0.39</w:t>
            </w:r>
          </w:p>
        </w:tc>
        <w:tc>
          <w:tcPr/>
          <w:p>
            <w:pPr>
              <w:pStyle w:val="Compact"/>
              <w:jc w:val="right"/>
            </w:pPr>
            <w:r>
              <w:t xml:space="preserve">0.68</w:t>
            </w:r>
          </w:p>
        </w:tc>
        <w:tc>
          <w:tcPr/>
          <w:p>
            <w:pPr>
              <w:pStyle w:val="Compact"/>
              <w:jc w:val="right"/>
            </w:pPr>
            <w:r>
              <w:t xml:space="preserve">3.90e-06</w:t>
            </w:r>
          </w:p>
        </w:tc>
      </w:tr>
    </w:tbl>
    <w:bookmarkEnd w:id="45"/>
    <w:bookmarkStart w:id="49" w:name="generating-a-logistic-regression-model"/>
    <w:p>
      <w:pPr>
        <w:pStyle w:val="Heading2"/>
      </w:pPr>
      <w:r>
        <w:t xml:space="preserve">4.7 Generating a Logistic Regression Model</w:t>
      </w:r>
    </w:p>
    <w:p>
      <w:pPr>
        <w:pStyle w:val="FirstParagraph"/>
      </w:pPr>
      <w:r>
        <w:t xml:space="preserve">Figure _ displays odds ratios and 95% confidence intervals from the multivariable logistic regression, showing assocaitions between rural status, population served, water system type, and violation likelihood.</w:t>
      </w:r>
    </w:p>
    <w:p>
      <w:pPr>
        <w:pStyle w:val="BodyText"/>
      </w:pPr>
      <w:r>
        <w:drawing>
          <wp:inline>
            <wp:extent cx="5334000" cy="3200400"/>
            <wp:effectExtent b="0" l="0" r="0" t="0"/>
            <wp:docPr descr="" title="" id="47" name="Picture"/>
            <a:graphic>
              <a:graphicData uri="http://schemas.openxmlformats.org/drawingml/2006/picture">
                <pic:pic>
                  <pic:nvPicPr>
                    <pic:cNvPr descr="Manuscript_files/figure-docx/unnamed-chunk-20-1.png" id="48" name="Picture"/>
                    <pic:cNvPicPr>
                      <a:picLocks noChangeArrowheads="1" noChangeAspect="1"/>
                    </pic:cNvPicPr>
                  </pic:nvPicPr>
                  <pic:blipFill>
                    <a:blip r:embed="rId46"/>
                    <a:stretch>
                      <a:fillRect/>
                    </a:stretch>
                  </pic:blipFill>
                  <pic:spPr bwMode="auto">
                    <a:xfrm>
                      <a:off x="0" y="0"/>
                      <a:ext cx="5334000" cy="3200400"/>
                    </a:xfrm>
                    <a:prstGeom prst="rect">
                      <a:avLst/>
                    </a:prstGeom>
                    <a:noFill/>
                    <a:ln w="9525">
                      <a:noFill/>
                      <a:headEnd/>
                      <a:tailEnd/>
                    </a:ln>
                  </pic:spPr>
                </pic:pic>
              </a:graphicData>
            </a:graphic>
          </wp:inline>
        </w:drawing>
      </w:r>
    </w:p>
    <w:bookmarkEnd w:id="49"/>
    <w:bookmarkEnd w:id="50"/>
    <w:bookmarkStart w:id="51" w:name="discussion"/>
    <w:p>
      <w:pPr>
        <w:pStyle w:val="Heading1"/>
      </w:pPr>
      <w:r>
        <w:t xml:space="preserve">5. Discussion</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6" Target="media/rId46.png" /><Relationship Type="http://schemas.openxmlformats.org/officeDocument/2006/relationships/image" Id="rId31" Target="media/rId31.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Analysis of Rural-Urban Difference in Drinking Water System Violations in Georgia</dc:title>
  <dc:creator>Talia C. Swanson, B.S.</dc:creator>
  <cp:keywords/>
  <dcterms:created xsi:type="dcterms:W3CDTF">2026-03-23T19:13:44Z</dcterms:created>
  <dcterms:modified xsi:type="dcterms:W3CDTF">2026-03-23T19:13:44Z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