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BIRLA INSTITUTE OF TECHNOLOGY &amp; SCIENCE, PILANI</w:t>
      </w:r>
    </w:p>
    <w:p>
      <w:pPr>
        <w:spacing w:after="60" w:before="60"/>
        <w:jc w:val="center"/>
      </w:pPr>
      <w:r>
        <w:rPr>
          <w:rFonts w:ascii="Times New Roman" w:cs="Times New Roman" w:eastAsia="Times New Roman" w:hAnsi="Times New Roman"/>
          <w:b/>
          <w:bCs/>
          <w:sz w:val="24"/>
          <w:szCs w:val="24"/>
        </w:rPr>
        <w:t xml:space="preserve">WORK INTEGRATED LEARNING PROGRAMMES (WILP) DIVISION</w:t>
      </w:r>
    </w:p>
    <w:p>
      <w:pPr>
        <w:spacing w:after="0" w:before="0"/>
      </w:pPr>
      <w:r>
        <w:t xml:space="preserve"/>
      </w:r>
    </w:p>
    <w:p>
      <w:pPr>
        <w:spacing w:after="60" w:before="60"/>
        <w:jc w:val="center"/>
      </w:pPr>
      <w:r>
        <w:rPr>
          <w:rFonts w:ascii="Times New Roman" w:cs="Times New Roman" w:eastAsia="Times New Roman" w:hAnsi="Times New Roman"/>
          <w:b/>
          <w:bCs/>
          <w:sz w:val="24"/>
          <w:szCs w:val="24"/>
        </w:rPr>
        <w:t xml:space="preserve">[Insert Semester] SEMESTER OF ACADEMIC YEAR [Insert Academic Year]</w:t>
      </w:r>
    </w:p>
    <w:p>
      <w:pPr>
        <w:spacing w:after="0" w:before="0"/>
      </w:pPr>
      <w:r>
        <w:t xml:space="preserve"/>
      </w:r>
    </w:p>
    <w:p>
      <w:pPr>
        <w:spacing w:after="60" w:before="60"/>
        <w:jc w:val="center"/>
      </w:pPr>
      <w:r>
        <w:rPr>
          <w:rFonts w:ascii="Times New Roman" w:cs="Times New Roman" w:eastAsia="Times New Roman" w:hAnsi="Times New Roman"/>
          <w:b/>
          <w:bCs/>
          <w:caps/>
          <w:sz w:val="26"/>
          <w:szCs w:val="26"/>
          <w:u w:val="single"/>
        </w:rPr>
        <w:t xml:space="preserve">[Insert Course No.] : DISSERTATION</w:t>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sz w:val="28"/>
          <w:szCs w:val="28"/>
        </w:rPr>
        <w:t xml:space="preserve">Causal Planning for LLM Agents:</w:t>
      </w:r>
    </w:p>
    <w:p>
      <w:pPr>
        <w:spacing w:after="60" w:before="60"/>
        <w:jc w:val="center"/>
      </w:pPr>
      <w:r>
        <w:rPr>
          <w:rFonts w:ascii="Times New Roman" w:cs="Times New Roman" w:eastAsia="Times New Roman" w:hAnsi="Times New Roman"/>
          <w:b/>
          <w:bCs/>
          <w:sz w:val="28"/>
          <w:szCs w:val="28"/>
        </w:rPr>
        <w:t xml:space="preserve">A Framework for Robust Decision-Making Under Distribution Shift</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Course No.</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Course No.]</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Course Title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Dissertation</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Student Name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Student Name]</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BITS ID No.</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BITS ID]</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Degree Program</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M.Tech. Artificial Intelligence &amp; Machine Learning</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Research Area</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Causal Reasoning in LLM Agent Decision-Making</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Dissertation Title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Causal Planning for LLM Agents: A Framework for Robust Decision-Making Under Distribution Shift</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Dissertation Carried Out At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Wells Fargo, [Insert Location]</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Supervisor’s Name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Supervisor Name]</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Supervisor’s Organization &amp; Location</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Organization &amp; Location]</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Supervisor’s Email</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Email]</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Additional Examiner’s Name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Examiner Name]</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Additional Examiner’s Organization</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Organization &amp; Location]</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Additional Examiner’s Email</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2"/>
                <w:szCs w:val="22"/>
              </w:rPr>
              <w:t xml:space="preserve">[Insert Email]</w:t>
            </w:r>
          </w:p>
        </w:tc>
      </w:tr>
    </w:tbl>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sz w:val="24"/>
          <w:szCs w:val="24"/>
        </w:rPr>
        <w:t xml:space="preserve">May 2026</w:t>
      </w:r>
    </w:p>
    <w:p>
      <w:pPr>
        <w:spacing w:after="0" w:before="0"/>
      </w:pPr>
      <w:r>
        <w:t xml:space="preserve"/>
      </w:r>
    </w:p>
    <w:p>
      <w:pPr>
        <w:pageBreakBefore/>
      </w:pPr>
    </w:p>
    <w:p>
      <w:pPr>
        <w:pStyle w:val="Heading1"/>
      </w:pPr>
      <w:r>
        <w:rPr>
          <w:rFonts w:ascii="Times New Roman" w:cs="Times New Roman" w:eastAsia="Times New Roman" w:hAnsi="Times New Roman"/>
          <w:b/>
          <w:bCs/>
          <w:color w:val="1F4E79"/>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0" w:before="0"/>
      </w:pPr>
      <w:r>
        <w:t xml:space="preserve"/>
      </w:r>
    </w:p>
    <w:p>
      <w:pPr>
        <w:pageBreakBefore/>
      </w:pPr>
    </w:p>
    <w:p>
      <w:pPr>
        <w:pStyle w:val="Heading1"/>
      </w:pPr>
      <w:r>
        <w:rPr>
          <w:rFonts w:ascii="Times New Roman" w:cs="Times New Roman" w:eastAsia="Times New Roman" w:hAnsi="Times New Roman"/>
          <w:b/>
          <w:bCs/>
          <w:color w:val="1F4E79"/>
          <w:sz w:val="28"/>
          <w:szCs w:val="28"/>
        </w:rPr>
        <w:t xml:space="preserve">1. Broad Area of Work</w:t>
      </w:r>
    </w:p>
    <w:p>
      <w:pPr>
        <w:spacing w:after="80" w:before="80"/>
        <w:jc w:val="both"/>
      </w:pPr>
      <w:r>
        <w:rPr>
          <w:rFonts w:ascii="Times New Roman" w:cs="Times New Roman" w:eastAsia="Times New Roman" w:hAnsi="Times New Roman"/>
          <w:sz w:val="24"/>
          <w:szCs w:val="24"/>
        </w:rPr>
        <w:t xml:space="preserve">This dissertation sits at the boundary of three areas that have evolved on largely separate tracks: causal inference, large language model agents, and machine learning robustness under shifting input conditions. The premise of the work is that joining them, by applying causal reasoning at the point where an agent picks its next action, can yield decision-making that holds up better under shift than the correlational approaches that dominate today’s agent designs. The sub-areas the work touches are:</w:t>
      </w:r>
    </w:p>
    <w:p>
      <w:pPr>
        <w:spacing w:after="0" w:before="0"/>
      </w:pPr>
      <w:r>
        <w:t xml:space="preserve"/>
      </w:r>
    </w:p>
    <w:p>
      <w:pPr>
        <w:spacing w:after="60" w:before="60"/>
        <w:ind w:left="720" w:hanging="360"/>
        <w:jc w:val="both"/>
      </w:pPr>
      <w:r>
        <w:rPr>
          <w:rFonts w:ascii="Times New Roman" w:cs="Times New Roman" w:eastAsia="Times New Roman" w:hAnsi="Times New Roman"/>
          <w:sz w:val="24"/>
          <w:szCs w:val="24"/>
        </w:rPr>
        <w:t xml:space="preserve">•  Causal inference, and specifically Pearl’s structural causal models and the do-calculus. These tools live mostly in epidemiology and treatment-effect work today. Their use inside an agent’s decision loop is uncommon, and is the angle taken in this thesis.</w:t>
      </w:r>
    </w:p>
    <w:p>
      <w:pPr>
        <w:spacing w:after="60" w:before="60"/>
        <w:ind w:left="720" w:hanging="360"/>
        <w:jc w:val="both"/>
      </w:pPr>
      <w:r>
        <w:rPr>
          <w:rFonts w:ascii="Times New Roman" w:cs="Times New Roman" w:eastAsia="Times New Roman" w:hAnsi="Times New Roman"/>
          <w:sz w:val="24"/>
          <w:szCs w:val="24"/>
        </w:rPr>
        <w:t xml:space="preserve">•  LLM-based autonomous agents. The dominant designs in production today (ReAct, Chain-of-Thought, tool-use scaffolds) are correlational at the action-selection layer. They learn what tends to work; they do not learn why.</w:t>
      </w:r>
    </w:p>
    <w:p>
      <w:pPr>
        <w:spacing w:after="60" w:before="60"/>
        <w:ind w:left="720" w:hanging="360"/>
        <w:jc w:val="both"/>
      </w:pPr>
      <w:r>
        <w:rPr>
          <w:rFonts w:ascii="Times New Roman" w:cs="Times New Roman" w:eastAsia="Times New Roman" w:hAnsi="Times New Roman"/>
          <w:sz w:val="24"/>
          <w:szCs w:val="24"/>
        </w:rPr>
        <w:t xml:space="preserve">•  Distribution shift. Even strong agents drop sharply when task conditions move away from those they were trained or prompted against. Whether causal grounding offers a more stable basis for generalisation is, at the agent level, an open question.</w:t>
      </w:r>
    </w:p>
    <w:p>
      <w:pPr>
        <w:spacing w:after="60" w:before="60"/>
        <w:ind w:left="720" w:hanging="360"/>
        <w:jc w:val="both"/>
      </w:pPr>
      <w:r>
        <w:rPr>
          <w:rFonts w:ascii="Times New Roman" w:cs="Times New Roman" w:eastAsia="Times New Roman" w:hAnsi="Times New Roman"/>
          <w:sz w:val="24"/>
          <w:szCs w:val="24"/>
        </w:rPr>
        <w:t xml:space="preserve">•  Automated software engineering. The evaluation domain proposed here is software debugging, with SWE-bench as the empirical setting. SWE-bench is a public benchmark of real GitHub issues drawn from twelve open-source repositories, which makes it reproducible and grounded in tasks people actually face.</w:t>
      </w:r>
    </w:p>
    <w:p>
      <w:pPr>
        <w:spacing w:after="60" w:before="60"/>
        <w:ind w:left="720" w:hanging="360"/>
        <w:jc w:val="both"/>
      </w:pPr>
      <w:r>
        <w:rPr>
          <w:rFonts w:ascii="Times New Roman" w:cs="Times New Roman" w:eastAsia="Times New Roman" w:hAnsi="Times New Roman"/>
          <w:sz w:val="24"/>
          <w:szCs w:val="24"/>
        </w:rPr>
        <w:t xml:space="preserve">•  Explainable AI. A side benefit of using a causal model for action selection is that every decision the agent makes carries a traceable causal justification. This is more useful for downstream auditing than the after-the-fact rationalisation that current chain-of-thought traces tend to produce.</w:t>
      </w:r>
    </w:p>
    <w:p>
      <w:pPr>
        <w:spacing w:after="0" w:before="0"/>
      </w:pPr>
      <w:r>
        <w:t xml:space="preserve"/>
      </w:r>
    </w:p>
    <w:p>
      <w:pPr>
        <w:pStyle w:val="Heading1"/>
      </w:pPr>
      <w:r>
        <w:rPr>
          <w:rFonts w:ascii="Times New Roman" w:cs="Times New Roman" w:eastAsia="Times New Roman" w:hAnsi="Times New Roman"/>
          <w:b/>
          <w:bCs/>
          <w:color w:val="1F4E79"/>
          <w:sz w:val="28"/>
          <w:szCs w:val="28"/>
        </w:rPr>
        <w:t xml:space="preserve">2. Background</w:t>
      </w:r>
    </w:p>
    <w:p>
      <w:pPr>
        <w:spacing w:after="80" w:before="80"/>
        <w:jc w:val="both"/>
      </w:pPr>
      <w:r>
        <w:rPr>
          <w:rFonts w:ascii="Times New Roman" w:cs="Times New Roman" w:eastAsia="Times New Roman" w:hAnsi="Times New Roman"/>
          <w:sz w:val="24"/>
          <w:szCs w:val="24"/>
        </w:rPr>
        <w:t xml:space="preserve">Modern LLM agents are, in a strict sense, correlation engines. ReAct (Yao et al., 2022), Chain-of-Thought variants, and the various tool-use scaffolds in production today all share the same underlying approach: associate task contexts with action sequences observed during training, and reproduce those associations at inference time. Within their training distribution this works well. Outside it, performance often falls off. A debugging agent that handles Python type errors competently may struggle on the same class of bug in Rust, or on Python errors raised inside an unfamiliar framework.</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The reason is structural. These agents have no model of how their actions affect outcomes. They can note that a tool succeeded in past trajectories with similar inputs; they cannot ask, in any principled sense, why it succeeded. The causal-inference literature has established for decades that correlational associations are, in general, less stable across distribution shift than the underlying causal mechanisms. Pearl’s work makes this precise; the empirical treatment-effect literature backs it up.</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Pearl’s structural causal models and do-calculus offer a way to reason about decisions that does not rely on past co-occurrence patterns. Instead of asking what worked before, an agent equipped with an SCM can ask: what would happen if I intervened to take action X right now? In domains where the order and selection of actions has real causal weight, this matters. Software debugging is one such domain. Inspecting execution logs before running tests produces different information than running tests first and reading the failure output. Any working engineer recognises this. Current LLM agents do not encode it.</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This dissertation proposes the Causal Planning Agent: an LLM-based agent that selects actions using do-calculus interventional inference at runtime, built on top of the DoWhy library and evaluated against SWE-bench. A second component, the Counterfactual Reflection Module, allows the agent to update its causal beliefs from experience. After each action it asks whether a different choice would have been better, and updates its model when the answer is yes. To my knowledge, no existing LLM-agent design does this.</w:t>
      </w:r>
    </w:p>
    <w:p>
      <w:pPr>
        <w:spacing w:after="0" w:before="0"/>
      </w:pPr>
      <w:r>
        <w:t xml:space="preserve"/>
      </w:r>
    </w:p>
    <w:p>
      <w:pPr>
        <w:pStyle w:val="Heading1"/>
      </w:pPr>
      <w:r>
        <w:rPr>
          <w:rFonts w:ascii="Times New Roman" w:cs="Times New Roman" w:eastAsia="Times New Roman" w:hAnsi="Times New Roman"/>
          <w:b/>
          <w:bCs/>
          <w:color w:val="1F4E79"/>
          <w:sz w:val="28"/>
          <w:szCs w:val="28"/>
        </w:rPr>
        <w:t xml:space="preserve">3. Objectives</w:t>
      </w:r>
    </w:p>
    <w:p>
      <w:pPr>
        <w:spacing w:after="80" w:before="80"/>
        <w:jc w:val="both"/>
      </w:pPr>
      <w:r>
        <w:rPr>
          <w:rFonts w:ascii="Times New Roman" w:cs="Times New Roman" w:eastAsia="Times New Roman" w:hAnsi="Times New Roman"/>
          <w:sz w:val="24"/>
          <w:szCs w:val="24"/>
        </w:rPr>
        <w:t xml:space="preserve">The objectives of the dissertation are as follows:</w:t>
      </w:r>
    </w:p>
    <w:p>
      <w:pPr>
        <w:spacing w:after="0" w:before="0"/>
      </w:pPr>
      <w:r>
        <w:t xml:space="preserve"/>
      </w:r>
    </w:p>
    <w:p>
      <w:pPr>
        <w:spacing w:after="80" w:before="80"/>
        <w:ind w:left="720" w:hanging="360"/>
        <w:jc w:val="both"/>
      </w:pPr>
      <w:r>
        <w:rPr>
          <w:rFonts w:ascii="Times New Roman" w:cs="Times New Roman" w:eastAsia="Times New Roman" w:hAnsi="Times New Roman"/>
          <w:sz w:val="24"/>
          <w:szCs w:val="24"/>
        </w:rPr>
        <w:t xml:space="preserve">1.	Design and implement a Causal Planning Layer that scores candidate actions using do-calculus interventional inference, via the DoWhy library. This replaces the correlational scoring an LLM would perform on its own with an explicit interventional one.</w:t>
      </w:r>
    </w:p>
    <w:p>
      <w:pPr>
        <w:spacing w:after="80" w:before="80"/>
        <w:ind w:left="720" w:hanging="360"/>
        <w:jc w:val="both"/>
      </w:pPr>
      <w:r>
        <w:rPr>
          <w:rFonts w:ascii="Times New Roman" w:cs="Times New Roman" w:eastAsia="Times New Roman" w:hAnsi="Times New Roman"/>
          <w:sz w:val="24"/>
          <w:szCs w:val="24"/>
        </w:rPr>
        <w:t xml:space="preserve">2.	Build a structural causal model for the software debugging domain. The model encodes the causal relations between error message type, codebase structure, hypothesis space, tool selection, information gained, root cause identification, and patch quality, with formal definitions for each variable and explicit edge semantics.</w:t>
      </w:r>
    </w:p>
    <w:p>
      <w:pPr>
        <w:spacing w:after="80" w:before="80"/>
        <w:ind w:left="720" w:hanging="360"/>
        <w:jc w:val="both"/>
      </w:pPr>
      <w:r>
        <w:rPr>
          <w:rFonts w:ascii="Times New Roman" w:cs="Times New Roman" w:eastAsia="Times New Roman" w:hAnsi="Times New Roman"/>
          <w:sz w:val="24"/>
          <w:szCs w:val="24"/>
        </w:rPr>
        <w:t xml:space="preserve">3.	Implement the Counterfactual Reflection Module. After each action, the agent queries the LLM for what an alternative action would likely have produced, and updates its causal beliefs when an alternative looks materially better than the choice it made. As far as I can tell, this online causal-belief update loop is absent from existing LLM agent designs.</w:t>
      </w:r>
    </w:p>
    <w:p>
      <w:pPr>
        <w:spacing w:after="80" w:before="80"/>
        <w:ind w:left="720" w:hanging="360"/>
        <w:jc w:val="both"/>
      </w:pPr>
      <w:r>
        <w:rPr>
          <w:rFonts w:ascii="Times New Roman" w:cs="Times New Roman" w:eastAsia="Times New Roman" w:hAnsi="Times New Roman"/>
          <w:sz w:val="24"/>
          <w:szCs w:val="24"/>
        </w:rPr>
        <w:t xml:space="preserve">4.	Develop a Distribution Shift Evaluation Suite. SWE-bench is partitioned along four axes (programming language, bug type, framework, codebase size) so that controlled out-of-distribution test conditions can be constructed. Out-of-distribution performance is the primary empirical claim of the thesis, so this suite is load-bearing for the rest of the work.</w:t>
      </w:r>
    </w:p>
    <w:p>
      <w:pPr>
        <w:spacing w:after="80" w:before="80"/>
        <w:ind w:left="720" w:hanging="360"/>
        <w:jc w:val="both"/>
      </w:pPr>
      <w:r>
        <w:rPr>
          <w:rFonts w:ascii="Times New Roman" w:cs="Times New Roman" w:eastAsia="Times New Roman" w:hAnsi="Times New Roman"/>
          <w:sz w:val="24"/>
          <w:szCs w:val="24"/>
        </w:rPr>
        <w:t xml:space="preserve">5.	Show, empirically, that the Causal Planning Agent beats the standard baselines (ReAct, Chain-of-Thought, no-memory) on out-of-distribution variants. The gain has to be attributable to causal structure rather than to model scale or prompting tricks; ablation experiments are designed to isolate this.</w:t>
      </w:r>
    </w:p>
    <w:p>
      <w:pPr>
        <w:spacing w:after="80" w:before="80"/>
        <w:ind w:left="720" w:hanging="360"/>
        <w:jc w:val="both"/>
      </w:pPr>
      <w:r>
        <w:rPr>
          <w:rFonts w:ascii="Times New Roman" w:cs="Times New Roman" w:eastAsia="Times New Roman" w:hAnsi="Times New Roman"/>
          <w:sz w:val="24"/>
          <w:szCs w:val="24"/>
        </w:rPr>
        <w:t xml:space="preserve">6.	Produce auditable causal traces for each agent decision and evaluate their quality as explanations. The evaluation uses an LLM-as-judge protocol alongside a small human-evaluation study, comparing the causal traces against the chain-of-thought rationales the baselines produce.</w:t>
      </w:r>
    </w:p>
    <w:p>
      <w:pPr>
        <w:spacing w:after="0" w:before="0"/>
      </w:pPr>
      <w:r>
        <w:t xml:space="preserve"/>
      </w:r>
    </w:p>
    <w:p>
      <w:pPr>
        <w:pStyle w:val="Heading1"/>
      </w:pPr>
      <w:r>
        <w:rPr>
          <w:rFonts w:ascii="Times New Roman" w:cs="Times New Roman" w:eastAsia="Times New Roman" w:hAnsi="Times New Roman"/>
          <w:b/>
          <w:bCs/>
          <w:color w:val="1F4E79"/>
          <w:sz w:val="28"/>
          <w:szCs w:val="28"/>
        </w:rPr>
        <w:t xml:space="preserve">4. Scope of Work</w:t>
      </w:r>
    </w:p>
    <w:p>
      <w:pPr>
        <w:spacing w:after="80" w:before="80"/>
        <w:jc w:val="both"/>
      </w:pPr>
      <w:r>
        <w:rPr>
          <w:rFonts w:ascii="Times New Roman" w:cs="Times New Roman" w:eastAsia="Times New Roman" w:hAnsi="Times New Roman"/>
          <w:sz w:val="24"/>
          <w:szCs w:val="24"/>
        </w:rPr>
        <w:t xml:space="preserve">The following work will be carried out independently by the student over the dissertation semester:</w:t>
      </w:r>
    </w:p>
    <w:p>
      <w:pPr>
        <w:spacing w:after="0" w:before="0"/>
      </w:pPr>
      <w:r>
        <w:t xml:space="preserve"/>
      </w:r>
    </w:p>
    <w:p>
      <w:pPr>
        <w:spacing w:after="80" w:before="80"/>
        <w:ind w:left="720" w:hanging="360"/>
        <w:jc w:val="both"/>
      </w:pPr>
      <w:r>
        <w:rPr>
          <w:rFonts w:ascii="Times New Roman" w:cs="Times New Roman" w:eastAsia="Times New Roman" w:hAnsi="Times New Roman"/>
          <w:sz w:val="24"/>
          <w:szCs w:val="24"/>
        </w:rPr>
        <w:t xml:space="preserve">1.	Causal graph construction. Design and validate the SCM for software debugging: variable definitions, edge semantics, and manual checking against established debugging workflows. The graph is stored as a networkx DiGraph for use throughout the system.</w:t>
      </w:r>
    </w:p>
    <w:p>
      <w:pPr>
        <w:spacing w:after="80" w:before="80"/>
        <w:ind w:left="720" w:hanging="360"/>
        <w:jc w:val="both"/>
      </w:pPr>
      <w:r>
        <w:rPr>
          <w:rFonts w:ascii="Times New Roman" w:cs="Times New Roman" w:eastAsia="Times New Roman" w:hAnsi="Times New Roman"/>
          <w:sz w:val="24"/>
          <w:szCs w:val="24"/>
        </w:rPr>
        <w:t xml:space="preserve">2.	System implementation, in Python. Four components:</w:t>
      </w:r>
    </w:p>
    <w:p>
      <w:pPr>
        <w:spacing w:after="60" w:before="60"/>
        <w:ind w:left="720" w:hanging="360"/>
        <w:jc w:val="both"/>
      </w:pPr>
      <w:r>
        <w:rPr>
          <w:rFonts w:ascii="Times New Roman" w:cs="Times New Roman" w:eastAsia="Times New Roman" w:hAnsi="Times New Roman"/>
          <w:sz w:val="24"/>
          <w:szCs w:val="24"/>
        </w:rPr>
        <w:t xml:space="preserve">•  Causal Graph Extractor. LLM-assisted extraction of causal edges from a task description, output as JSON, parsed into a directed acyclic graph.</w:t>
      </w:r>
    </w:p>
    <w:p>
      <w:pPr>
        <w:spacing w:after="60" w:before="60"/>
        <w:ind w:left="720" w:hanging="360"/>
        <w:jc w:val="both"/>
      </w:pPr>
      <w:r>
        <w:rPr>
          <w:rFonts w:ascii="Times New Roman" w:cs="Times New Roman" w:eastAsia="Times New Roman" w:hAnsi="Times New Roman"/>
          <w:sz w:val="24"/>
          <w:szCs w:val="24"/>
        </w:rPr>
        <w:t xml:space="preserve">•  Causal Planning Layer: DoWhy-based computation of P(goal | do(action = X)) at inference time. A synthetic-prior warm-start handles the cold-start problem when fewer than ten observations are available.</w:t>
      </w:r>
    </w:p>
    <w:p>
      <w:pPr>
        <w:spacing w:after="60" w:before="60"/>
        <w:ind w:left="720" w:hanging="360"/>
        <w:jc w:val="both"/>
      </w:pPr>
      <w:r>
        <w:rPr>
          <w:rFonts w:ascii="Times New Roman" w:cs="Times New Roman" w:eastAsia="Times New Roman" w:hAnsi="Times New Roman"/>
          <w:sz w:val="24"/>
          <w:szCs w:val="24"/>
        </w:rPr>
        <w:t xml:space="preserve">•  Counterfactual Reflection Module. Post-action LLM queries comparing the chosen action against alternatives. When an alternative looks materially better, the agent updates its causal beliefs.</w:t>
      </w:r>
    </w:p>
    <w:p>
      <w:pPr>
        <w:spacing w:after="60" w:before="60"/>
        <w:ind w:left="720" w:hanging="360"/>
        <w:jc w:val="both"/>
      </w:pPr>
      <w:r>
        <w:rPr>
          <w:rFonts w:ascii="Times New Roman" w:cs="Times New Roman" w:eastAsia="Times New Roman" w:hAnsi="Times New Roman"/>
          <w:sz w:val="24"/>
          <w:szCs w:val="24"/>
        </w:rPr>
        <w:t xml:space="preserve">•  Distribution Shift Evaluation Suite. Automated partitioning of SWE-bench along the four axes mentioned in objective 4, with a harness that supports train/test splits across partitions.</w:t>
      </w:r>
    </w:p>
    <w:p>
      <w:pPr>
        <w:spacing w:after="80" w:before="80"/>
        <w:ind w:left="720" w:hanging="360"/>
        <w:jc w:val="both"/>
      </w:pPr>
      <w:r>
        <w:rPr>
          <w:rFonts w:ascii="Times New Roman" w:cs="Times New Roman" w:eastAsia="Times New Roman" w:hAnsi="Times New Roman"/>
          <w:sz w:val="24"/>
          <w:szCs w:val="24"/>
        </w:rPr>
        <w:t xml:space="preserve">3.	Baseline implementation and evaluation. Reproduce ReAct, Chain-of-Thought, and a no-memory agent on a representative SWE-bench subset, and evaluate each under both in-distribution and out-of-distribution conditions.</w:t>
      </w:r>
    </w:p>
    <w:p>
      <w:pPr>
        <w:spacing w:after="80" w:before="80"/>
        <w:ind w:left="720" w:hanging="360"/>
        <w:jc w:val="both"/>
      </w:pPr>
      <w:r>
        <w:rPr>
          <w:rFonts w:ascii="Times New Roman" w:cs="Times New Roman" w:eastAsia="Times New Roman" w:hAnsi="Times New Roman"/>
          <w:sz w:val="24"/>
          <w:szCs w:val="24"/>
        </w:rPr>
        <w:t xml:space="preserve">4.	Ablations. Run experiments isolating the contribution of the Causal Planning Layer alone, the Counterfactual Reflection Module alone, and the full system. Without these the gains cannot be attributed cleanly.</w:t>
      </w:r>
    </w:p>
    <w:p>
      <w:pPr>
        <w:spacing w:after="80" w:before="80"/>
        <w:ind w:left="720" w:hanging="360"/>
        <w:jc w:val="both"/>
      </w:pPr>
      <w:r>
        <w:rPr>
          <w:rFonts w:ascii="Times New Roman" w:cs="Times New Roman" w:eastAsia="Times New Roman" w:hAnsi="Times New Roman"/>
          <w:sz w:val="24"/>
          <w:szCs w:val="24"/>
        </w:rPr>
        <w:t xml:space="preserve">5.	Robustness and explainability analysis. Measure recovery rate after first tool failure; assess the causal traces as explanations using the protocol described in objective 6.</w:t>
      </w:r>
    </w:p>
    <w:p>
      <w:pPr>
        <w:spacing w:after="80" w:before="80"/>
        <w:ind w:left="720" w:hanging="360"/>
        <w:jc w:val="both"/>
      </w:pPr>
      <w:r>
        <w:rPr>
          <w:rFonts w:ascii="Times New Roman" w:cs="Times New Roman" w:eastAsia="Times New Roman" w:hAnsi="Times New Roman"/>
          <w:sz w:val="24"/>
          <w:szCs w:val="24"/>
        </w:rPr>
        <w:t xml:space="preserve">6.	Dissertation writing. Full report covering literature review, methodology, results, analysis, and discussion of implications for LLM agent design.</w:t>
      </w:r>
    </w:p>
    <w:p>
      <w:pPr>
        <w:spacing w:after="0" w:before="0"/>
      </w:pPr>
      <w:r>
        <w:t xml:space="preserve"/>
      </w:r>
    </w:p>
    <w:p>
      <w:pPr>
        <w:pStyle w:val="Heading1"/>
      </w:pPr>
      <w:r>
        <w:rPr>
          <w:rFonts w:ascii="Times New Roman" w:cs="Times New Roman" w:eastAsia="Times New Roman" w:hAnsi="Times New Roman"/>
          <w:b/>
          <w:bCs/>
          <w:color w:val="1F4E79"/>
          <w:sz w:val="28"/>
          <w:szCs w:val="28"/>
        </w:rPr>
        <w:t xml:space="preserve">5. Plan of 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Phase</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Start Date – End Date</w:t>
            </w:r>
          </w:p>
        </w:tc>
        <w:tc>
          <w:tcPr>
            <w:tcW w:type="dxa" w:w="4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Work to be Done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Literature Review &amp; Proposal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Apr 25, 2026 – May 15, 2026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Survey ReAct, CLadder, Kiıcıman et al., SWE-bench, DoWhy. Define SCM variables and causal edges. Submit dissertation outline.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Causal Graph &amp; DoWhy Integration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May 16, 2026 – May 29, 2026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Build Causal Graph Extractor (networkx), integrate DoWhy library, implement synthetic prior warm-start for cold-start handling.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Baseline Agent Evaluation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May 23, 2026 – Jun 5, 2026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Implement and evaluate ReAct, CoT, and no-memory agent baselines on a representative SWE-bench subset.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Causal Planning &amp; Counterfactual Module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Jun 6, 2026 – Jun 19, 2026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Implement Causal Planning Layer and Counterfactual Reflection Module. Build end-to-end demo: causal trace vs. ReAct trace on a live bug.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Mid-Semester Evaluation (30%)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Jun 27, 2026 – Jul 3, 2026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Present baseline vs. causal agent results to supervisor and examiner.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Ablations &amp; Distribution Shift Suite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Jul 4, 2026 – Jul 24, 2026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Run ablation studies. Build Distribution Shift Evaluation Suite (SWE-bench partitioned by language, bug type, framework, codebase size). Robustness analysis.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Dissertation Writing &amp; Review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Jul 25, 2026 – Aug 7, 2026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Complete full dissertation draft. Supervisor review and final revisions.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Viva Voce (60%)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Aug 8, 2026 – Aug 14, 2026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Final oral defense.</w:t>
            </w:r>
          </w:p>
        </w:tc>
      </w:tr>
    </w:tbl>
    <w:p>
      <w:pPr>
        <w:spacing w:after="0" w:before="0"/>
      </w:pPr>
      <w:r>
        <w:t xml:space="preserve"/>
      </w:r>
    </w:p>
    <w:p>
      <w:pPr>
        <w:pStyle w:val="Heading1"/>
      </w:pPr>
      <w:r>
        <w:rPr>
          <w:rFonts w:ascii="Times New Roman" w:cs="Times New Roman" w:eastAsia="Times New Roman" w:hAnsi="Times New Roman"/>
          <w:b/>
          <w:bCs/>
          <w:color w:val="1F4E79"/>
          <w:sz w:val="28"/>
          <w:szCs w:val="28"/>
        </w:rPr>
        <w:t xml:space="preserve">6. Literature References</w:t>
      </w:r>
    </w:p>
    <w:p>
      <w:pPr>
        <w:spacing w:after="0" w:before="0"/>
      </w:pPr>
      <w:r>
        <w:t xml:space="preserve"/>
      </w:r>
    </w:p>
    <w:p>
      <w:pPr>
        <w:spacing w:after="80" w:before="80"/>
        <w:ind w:left="720" w:hanging="360"/>
        <w:jc w:val="both"/>
      </w:pPr>
      <w:r>
        <w:rPr>
          <w:rFonts w:ascii="Times New Roman" w:cs="Times New Roman" w:eastAsia="Times New Roman" w:hAnsi="Times New Roman"/>
          <w:sz w:val="24"/>
          <w:szCs w:val="24"/>
        </w:rPr>
        <w:t xml:space="preserve">1.	Yao, S., Zhao, J., Yu, D., Du, N., Shafran, I., Narasimhan, K., &amp; Cao, Y. (2023). ReAct: Synergizing Reasoning and Acting in Language Models. In Proceedings of the International Conference on Learning Representations (ICLR 2023). arXiv:2210.03629.</w:t>
      </w:r>
    </w:p>
    <w:p>
      <w:pPr>
        <w:spacing w:after="80" w:before="80"/>
        <w:ind w:left="720" w:hanging="360"/>
        <w:jc w:val="both"/>
      </w:pPr>
      <w:r>
        <w:rPr>
          <w:rFonts w:ascii="Times New Roman" w:cs="Times New Roman" w:eastAsia="Times New Roman" w:hAnsi="Times New Roman"/>
          <w:sz w:val="24"/>
          <w:szCs w:val="24"/>
        </w:rPr>
        <w:t xml:space="preserve">2.	Jin, Z., Chen, Y., Leeb, F., Gresele, L., Kamal, O., Lyu, Z., Blin, K., Gonzalez Adauto, F., Kleiman-Weiner, M., Sachan, M., &amp; Schölkopf, B. (2023). CLadder: Assessing Causal Reasoning in Language Models. Advances in Neural Information Processing Systems (NeurIPS 2023). arXiv:2312.04350.</w:t>
      </w:r>
    </w:p>
    <w:p>
      <w:pPr>
        <w:spacing w:after="80" w:before="80"/>
        <w:ind w:left="720" w:hanging="360"/>
        <w:jc w:val="both"/>
      </w:pPr>
      <w:r>
        <w:rPr>
          <w:rFonts w:ascii="Times New Roman" w:cs="Times New Roman" w:eastAsia="Times New Roman" w:hAnsi="Times New Roman"/>
          <w:sz w:val="24"/>
          <w:szCs w:val="24"/>
        </w:rPr>
        <w:t xml:space="preserve">3.	Kiıcıman, E., Ness, R., Sharma, A., &amp; Tan, C. (2023). Causal Reasoning and Large Language Models: Opening a New Frontier for Causality. arXiv preprint arXiv:2305.00050.</w:t>
      </w:r>
    </w:p>
    <w:p>
      <w:pPr>
        <w:spacing w:after="80" w:before="80"/>
        <w:ind w:left="720" w:hanging="360"/>
        <w:jc w:val="both"/>
      </w:pPr>
      <w:r>
        <w:rPr>
          <w:rFonts w:ascii="Times New Roman" w:cs="Times New Roman" w:eastAsia="Times New Roman" w:hAnsi="Times New Roman"/>
          <w:sz w:val="24"/>
          <w:szCs w:val="24"/>
        </w:rPr>
        <w:t xml:space="preserve">4.	Jimenez, C. E., Yang, J., Wettig, A., Yao, S., Pei, K., Press, O., &amp; Narasimhan, K. (2024). SWE-bench: Can Language Models Resolve Real-World GitHub Issues? In Proceedings of the International Conference on Learning Representations (ICLR 2024). arXiv:2310.06770.</w:t>
      </w:r>
    </w:p>
    <w:p>
      <w:pPr>
        <w:spacing w:after="80" w:before="80"/>
        <w:ind w:left="720" w:hanging="360"/>
        <w:jc w:val="both"/>
      </w:pPr>
      <w:r>
        <w:rPr>
          <w:rFonts w:ascii="Times New Roman" w:cs="Times New Roman" w:eastAsia="Times New Roman" w:hAnsi="Times New Roman"/>
          <w:sz w:val="24"/>
          <w:szCs w:val="24"/>
        </w:rPr>
        <w:t xml:space="preserve">5.	Sharma, A., &amp; Kićiman, E. (2020). DoWhy: An End-to-End Library for Causal Inference. arXiv preprint arXiv:2011.04216.</w:t>
      </w:r>
    </w:p>
    <w:p>
      <w:pPr>
        <w:spacing w:after="80" w:before="80"/>
        <w:ind w:left="720" w:hanging="360"/>
        <w:jc w:val="both"/>
      </w:pPr>
      <w:r>
        <w:rPr>
          <w:rFonts w:ascii="Times New Roman" w:cs="Times New Roman" w:eastAsia="Times New Roman" w:hAnsi="Times New Roman"/>
          <w:sz w:val="24"/>
          <w:szCs w:val="24"/>
        </w:rPr>
        <w:t xml:space="preserve">6.	Sun, J., Xu, C., Tang, L., Wang, S., Lin, C., Gong, Y., Ni, L. M., Shum, H.-Y., &amp; Guo, J. (2024). Think-on-Graph: Deep and Responsible Reasoning of Large Language Models on Knowledge Graphs. In Proceedings of the International Conference on Learning Representations (ICLR 2024). arXiv:2307.07697.</w:t>
      </w:r>
    </w:p>
    <w:p>
      <w:pPr>
        <w:spacing w:after="80" w:before="80"/>
        <w:ind w:left="720" w:hanging="360"/>
        <w:jc w:val="both"/>
      </w:pPr>
      <w:r>
        <w:rPr>
          <w:rFonts w:ascii="Times New Roman" w:cs="Times New Roman" w:eastAsia="Times New Roman" w:hAnsi="Times New Roman"/>
          <w:sz w:val="24"/>
          <w:szCs w:val="24"/>
        </w:rPr>
        <w:t xml:space="preserve">7.	Pearl, J., &amp; Mackenzie, D. (2018). The Book of Why: The New Science of Cause and Effect. Basic Books.</w:t>
      </w:r>
    </w:p>
    <w:p>
      <w:pPr>
        <w:spacing w:after="80" w:before="80"/>
        <w:ind w:left="720" w:hanging="360"/>
        <w:jc w:val="both"/>
      </w:pPr>
      <w:r>
        <w:rPr>
          <w:rFonts w:ascii="Times New Roman" w:cs="Times New Roman" w:eastAsia="Times New Roman" w:hAnsi="Times New Roman"/>
          <w:sz w:val="24"/>
          <w:szCs w:val="24"/>
        </w:rPr>
        <w:t xml:space="preserve">8.	Pearl, J. (2009). Causality: Models, Reasoning, and Inference (2nd ed.). Cambridge University Press.</w:t>
      </w:r>
    </w:p>
    <w:p>
      <w:pPr>
        <w:spacing w:after="0" w:before="0"/>
      </w:pPr>
      <w:r>
        <w:t xml:space="preserve"/>
      </w:r>
    </w:p>
    <w:p>
      <w:pPr>
        <w:pStyle w:val="Heading1"/>
      </w:pPr>
      <w:r>
        <w:rPr>
          <w:rFonts w:ascii="Times New Roman" w:cs="Times New Roman" w:eastAsia="Times New Roman" w:hAnsi="Times New Roman"/>
          <w:b/>
          <w:bCs/>
          <w:color w:val="1F4E79"/>
          <w:sz w:val="28"/>
          <w:szCs w:val="28"/>
        </w:rPr>
        <w:t xml:space="preserve">7. Particulars of the Supervisor and Examiner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
            </w:r>
          </w:p>
        </w:tc>
        <w:tc>
          <w:tcPr>
            <w:tcW w:type="dxa" w:w="32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Supervisor</w:t>
            </w:r>
          </w:p>
        </w:tc>
        <w:tc>
          <w:tcPr>
            <w:tcW w:type="dxa" w:w="32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Additional Examiner</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Name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Name]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Name]</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Qualification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Qualification]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Qualification]</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Designation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Designation]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Designation]</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Employing Organization &amp; Location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Organization]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Organization]</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Phone No. (with STD Code)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Phone]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Phone]</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Email Address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Email]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[Insert Email]</w:t>
            </w:r>
          </w:p>
        </w:tc>
      </w:tr>
    </w:tbl>
    <w:p>
      <w:pPr>
        <w:spacing w:after="0" w:before="0"/>
      </w:pPr>
      <w:r>
        <w:t xml:space="preserve"/>
      </w:r>
    </w:p>
    <w:p>
      <w:pPr>
        <w:pStyle w:val="Heading1"/>
      </w:pPr>
      <w:r>
        <w:rPr>
          <w:rFonts w:ascii="Times New Roman" w:cs="Times New Roman" w:eastAsia="Times New Roman" w:hAnsi="Times New Roman"/>
          <w:b/>
          <w:bCs/>
          <w:color w:val="1F4E79"/>
          <w:sz w:val="28"/>
          <w:szCs w:val="28"/>
        </w:rPr>
        <w:t xml:space="preserve">8. Remarks of the Supervisor</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The proposed dissertation addresses a real open problem in current LLM agent research, namely the absence of principled causal intervention reasoning at the action-selection layer. The student has surveyed the relevant literature carefully and identified the gap correctly. The proposed integration of Pearl’s structural causal model framework with LLM-based action selection is novel in design. The Counterfactual Reflection Module, which is the online causal-belief update loop, is in my view the strongest original contribution of the work.</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Distribution shift — the phenomenon whereby the statistical properties of test-time tasks diverge from those of training data — is one of the most pervasive and consequential failure modes for deployed machine learning systems, and remains an open problem for LLM-based agents in particular. Agents trained or prompted against one distribution of tasks routinely exhibit substantial performance degradation when deployed against related but distinct task variants, even when those variants appear superficially similar. Addressing distribution shift is therefore not a secondary concern but a primary requirement for any agent system intended for real-world use, where novel inputs are the norm rather than the exception. The proposed Distribution Shift Evaluation Suite — which systematically partitions the evaluation benchmark along multiple axes to construct controlled out-of-distribution test conditions — constitutes an independent methodological contribution applicable to a broad class of agent research, beyond the specific empirical setting of this dissertation.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The four-component architecture is appropriately scoped for a Master’s dissertation. The ablation design separates the Causal Planning Layer and the Counterfactual Reflection Module so that any performance gain can be attributed to the right component. The plan of work is detailed, time-bound, and realistic given the semester schedule.</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The student brings useful prior experience to the work. They have applied causal modelling to large-scale data in an industrial setting, and they have built production agentic AI systems involving multi-agent orchestration and LLM pipelines. This combination is unusual at the Master’s level and gives me confidence that the system can be delivered independently within the semester.</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I am satisfied that the work represents a meaningful research contribution at the level expected for a Master’s dissertation in Artificial Intelligence and Machine Learning. There is reasonable scope for publication arising from it. I approve the project as Supervisor.</w:t>
      </w:r>
    </w:p>
    <w:p>
      <w:pPr>
        <w:spacing w:after="0" w:before="0"/>
      </w:pPr>
      <w:r>
        <w:t xml:space="preserve"/>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Information about the Supervisor:</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Name: _______________________________</w:t>
      </w:r>
    </w:p>
    <w:p>
      <w:pPr>
        <w:spacing w:after="80" w:before="80"/>
        <w:jc w:val="both"/>
      </w:pPr>
      <w:r>
        <w:rPr>
          <w:rFonts w:ascii="Times New Roman" w:cs="Times New Roman" w:eastAsia="Times New Roman" w:hAnsi="Times New Roman"/>
          <w:sz w:val="24"/>
          <w:szCs w:val="24"/>
        </w:rPr>
        <w:t xml:space="preserve">Designation: ________________________</w:t>
      </w:r>
    </w:p>
    <w:p>
      <w:pPr>
        <w:spacing w:after="80" w:before="80"/>
        <w:jc w:val="both"/>
      </w:pPr>
      <w:r>
        <w:rPr>
          <w:rFonts w:ascii="Times New Roman" w:cs="Times New Roman" w:eastAsia="Times New Roman" w:hAnsi="Times New Roman"/>
          <w:sz w:val="24"/>
          <w:szCs w:val="24"/>
        </w:rPr>
        <w:t xml:space="preserve">Organisation: _______________________</w:t>
      </w:r>
    </w:p>
    <w:p>
      <w:pPr>
        <w:spacing w:after="80" w:before="80"/>
        <w:jc w:val="both"/>
      </w:pPr>
      <w:r>
        <w:rPr>
          <w:rFonts w:ascii="Times New Roman" w:cs="Times New Roman" w:eastAsia="Times New Roman" w:hAnsi="Times New Roman"/>
          <w:sz w:val="24"/>
          <w:szCs w:val="24"/>
        </w:rPr>
        <w:t xml:space="preserve">Email: ______________________________</w:t>
      </w:r>
    </w:p>
    <w:p>
      <w:pPr>
        <w:spacing w:after="0" w:before="0"/>
      </w:pPr>
      <w:r>
        <w:t xml:space="preserve"/>
      </w:r>
    </w:p>
    <w:p>
      <w:pPr>
        <w:spacing w:after="0" w:before="0"/>
      </w:pPr>
      <w:r>
        <w:t xml:space="preserve"/>
      </w:r>
    </w:p>
    <w:p>
      <w:pPr>
        <w:pBdr>
          <w:top w:val="single" w:color="1F4E79" w:sz="6" w:space="4"/>
        </w:pBd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Signature of Student</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Signature of Supervisor</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Signature of Additional Examiner</w:t>
            </w:r>
          </w:p>
        </w:tc>
      </w:tr>
      <w:tr>
        <w:tc>
          <w:tcPr>
            <w:tcW w:type="dxa" w:w="31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s="Times New Roman" w:eastAsia="Times New Roman" w:hAnsi="Times New Roman"/>
                <w:sz w:val="22"/>
                <w:szCs w:val="22"/>
              </w:rPr>
              <w:t xml:space="preserve">Name: ____________________</w:t>
            </w:r>
          </w:p>
        </w:tc>
        <w:tc>
          <w:tcPr>
            <w:tcW w:type="dxa" w:w="31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s="Times New Roman" w:eastAsia="Times New Roman" w:hAnsi="Times New Roman"/>
                <w:sz w:val="22"/>
                <w:szCs w:val="22"/>
              </w:rPr>
              <w:t xml:space="preserve">Name: ____________________</w:t>
            </w:r>
          </w:p>
        </w:tc>
        <w:tc>
          <w:tcPr>
            <w:tcW w:type="dxa" w:w="31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s="Times New Roman" w:eastAsia="Times New Roman" w:hAnsi="Times New Roman"/>
                <w:sz w:val="22"/>
                <w:szCs w:val="22"/>
              </w:rPr>
              <w:t xml:space="preserve">Name: 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2026-05-01T14:12:07.795Z</dcterms:created>
  <dcterms:modified xsi:type="dcterms:W3CDTF">2026-05-01T14:12:07.795Z</dcterms:modified>
</cp:coreProperties>
</file>

<file path=docProps/custom.xml><?xml version="1.0" encoding="utf-8"?>
<Properties xmlns="http://schemas.openxmlformats.org/officeDocument/2006/custom-properties" xmlns:vt="http://schemas.openxmlformats.org/officeDocument/2006/docPropsVTypes"/>
</file>