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B4D3E"/>
          <w:sz w:val="48"/>
          <w:szCs w:val="48"/>
        </w:rPr>
        <w:t xml:space="preserve">ARCAM-Δχ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Nota técnica da arquitetura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Malha micorrízica como computador neuromórfico evento-dirigido. Transdução por sítios Ln³⁺. Porta Fe ∧ P ∧ ¬Zn. Plasticidade iônica em duas escalas. Código de repetição espacial 2-de-3.</w:t>
      </w:r>
    </w:p>
    <w:p>
      <w:pPr>
        <w:spacing w:after="360"/>
      </w:pPr>
      <w:r>
        <w:rPr>
          <w:rFonts w:ascii="Calibri" w:cs="Calibri" w:eastAsia="Calibri" w:hAnsi="Calibri"/>
          <w:color w:val="5C5C5C"/>
          <w:sz w:val="18"/>
          <w:szCs w:val="18"/>
        </w:rPr>
        <w:t xml:space="preserve">Talisson Martins  ·  Cuiabá/MT  ·  2026  ·  modelo teórico + simulador em grafo 3D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1. Posição do problema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computação digital clássica separa sensor, memória e lógica. Cada consulta a um campo químico implica varredura: N nós × T passos × custo de polling. Em malha densa isso escala mal e dissipa o tempo todo, mesmo quando o campo é estacionário.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floresta já colocaliza as três funções. Hifas conduzem íons, sítios de coordenação discriminam ligantes, filamentos usados de novo tornam-se mais condutores. ARCAM-Δχ formaliza isso como grafo espacial com dinâmica híbrida: campo contínuo nas arestas, disparo discreto nos nós Ln, plasticidade local.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Isto não é um computador quântico. O parentesco com o programa topológico (Majorana, proteção contra ruído local) é arquitetural: a informação útil não reside num ponto; reside numa relação entre pontos. A implementação é química e clássica.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2. Objeto matemático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4D3E"/>
          <w:sz w:val="26"/>
          <w:szCs w:val="26"/>
        </w:rPr>
        <w:t xml:space="preserve">2.1 Grafo espacial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Seja G = (V, E) um grafo não orientado com |V| = N nós em [0,1]³. Arestas: k-vizinhos euclidianos mais anastomoses longas. Cada aresta {i,j} carrega comprimento ℓ_ij &gt; 0.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A_ion(i,j) = exp(−ℓ_ij / λ_ion) / ℓ_ij ,     A_el(i,j) = exp(−ℓ_ij / λ_el) / ℓ_ij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λ_ion ≪ λ_el: o íon atenua no filamento; o pulso de membrana vai mais longe. Os operadores de difusão e de cabo usam as matrizes correspondentes, normalizadas por grau, e moduladas pela plasticidade M ⊙ L.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Ŵ_ion = Norm( A_ion ⊙ M ⊙ L ) ,     Ŵ_el = Norm( A_el ⊙ M ⊙ L 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4D3E"/>
          <w:sz w:val="26"/>
          <w:szCs w:val="26"/>
        </w:rPr>
        <w:t xml:space="preserve">2.2 Três campos iônicos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Em cada nó convivem ferro, fosfato e zinco. A dinâmica é reação–difusão no grafo: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χ̇_s = D_s ( Ŵ_ion χ_s − χ_s ) − λ_s χ_s + u_s(t) + ξ_s(t)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 ∈ {Fe, P, Zn}. u_s é injeção localizada (pluma senoidal ao quadrado na fonte). ξ_s é ruído gaussiano escalado em √Δt, para que o incremento seja uma caminhada de Itô e não um salto de amplitude O(1) a cada passo. Sem isso o “ruído de solo” vira um campo global e nenhum código de repetição sobrevive.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4D3E"/>
          <w:sz w:val="26"/>
          <w:szCs w:val="26"/>
        </w:rPr>
        <w:t xml:space="preserve">2.3 Cabo e disparo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C V̇_i = −g_L (V_i − E_L) + g_gap (Ŵ_el V − V)_i + I_gate,i + I_syn,i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 V_i ≥ V_th e o nó não está em refratário, dispara, reseta a V_reset e injeta corrente sináptica nos vizinhos atenuada por λ_el e ponderada por M_ij L_ij. Hifa comum não inicia disparo químico: I_gate = 0 fora dos nós Ln.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3. Porta química assimétrica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nó Ln não é um amplificador. É um sítio de coordenação Ln³⁺ com dois ligantes cooperativos e um competitivo. Sejam x_P = max(χ_P − χ_0, 0) e analogamente x_Fe, x_Zn.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θ_P = x_P^{n_P} / (x_P^{n_P} + K_P^{n_P})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θ_Zn = x_Zn^{n_Zn} / (x_Zn^{n_Zn} + K_Zn^{n_Zn})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I_Ln = G_Ln · θ_P · (1 − θ_Zn) · x_Fe^{n_Fe}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Três assimetrias deliberadas: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n_Fe &gt; n_P: o ferro é o ramo íngreme (corrente); o fosfato é o ramo que habilita o sítio.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θ_Zn entra como fator (1 − θ_Zn), não como subtração fraca: ocupação competitiva quase digital.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I_Ln só existe em nós marcados Ln. O restante da malha é cabo.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Evento FIRE se, no mesmo Ln e dentro da janela de coincidência τ_AND: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FIRE  ⇔  (χ_Fe ≥ θ) ∧ (χ_P ≥ θ) ∧ ¬(χ_Zn ≥ θ ∨ θ_Zn ≥ 0.45)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Caso contrário, se ferro e fosfato passam do limiar com zinco ocupando o sítio, o registro é BLOCK. Histerese θ_off &lt; θ desarma o detector e impede rajada no platô da pluma.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12"/>
        <w:gridCol w:w="2213"/>
        <w:gridCol w:w="3213"/>
      </w:tblGrid>
      <w:tr>
        <w:tc>
          <w:tcPr>
            <w:tcW w:type="dxa" w:w="20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212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W w:type="dxa" w:w="2213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Valor-base</w:t>
            </w:r>
          </w:p>
        </w:tc>
        <w:tc>
          <w:tcPr>
            <w:tcW w:type="dxa" w:w="3213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0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Ganho Ln</w:t>
            </w:r>
          </w:p>
        </w:tc>
        <w:tc>
          <w:tcPr>
            <w:tcW w:type="dxa" w:w="2212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G_Ln</w:t>
            </w:r>
          </w:p>
        </w:tc>
        <w:tc>
          <w:tcPr>
            <w:tcW w:type="dxa" w:w="2213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48</w:t>
            </w:r>
          </w:p>
        </w:tc>
        <w:tc>
          <w:tcPr>
            <w:tcW w:type="dxa" w:w="3213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Escala da corrente de porta</w:t>
            </w:r>
          </w:p>
        </w:tc>
      </w:tr>
      <w:tr>
        <w:tc>
          <w:tcPr>
            <w:tcW w:type="dxa" w:w="20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Hill P / Fe / Zn</w:t>
            </w:r>
          </w:p>
        </w:tc>
        <w:tc>
          <w:tcPr>
            <w:tcW w:type="dxa" w:w="2212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n_P, n_Fe, n_Zn</w:t>
            </w:r>
          </w:p>
        </w:tc>
        <w:tc>
          <w:tcPr>
            <w:tcW w:type="dxa" w:w="2213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1.15 / 2.05 / 1.80</w:t>
            </w:r>
          </w:p>
        </w:tc>
        <w:tc>
          <w:tcPr>
            <w:tcW w:type="dxa" w:w="3213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Habilita / empurra / veta</w:t>
            </w:r>
          </w:p>
        </w:tc>
      </w:tr>
      <w:tr>
        <w:tc>
          <w:tcPr>
            <w:tcW w:type="dxa" w:w="20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Afinidades</w:t>
            </w:r>
          </w:p>
        </w:tc>
        <w:tc>
          <w:tcPr>
            <w:tcW w:type="dxa" w:w="2212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K_P, K_Zn</w:t>
            </w:r>
          </w:p>
        </w:tc>
        <w:tc>
          <w:tcPr>
            <w:tcW w:type="dxa" w:w="2213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0.28 / 0.32</w:t>
            </w:r>
          </w:p>
        </w:tc>
        <w:tc>
          <w:tcPr>
            <w:tcW w:type="dxa" w:w="3213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Meia-ocupação do sítio</w:t>
            </w:r>
          </w:p>
        </w:tc>
      </w:tr>
      <w:tr>
        <w:tc>
          <w:tcPr>
            <w:tcW w:type="dxa" w:w="20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Limiar / folga</w:t>
            </w:r>
          </w:p>
        </w:tc>
        <w:tc>
          <w:tcPr>
            <w:tcW w:type="dxa" w:w="2212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θ / θ_off</w:t>
            </w:r>
          </w:p>
        </w:tc>
        <w:tc>
          <w:tcPr>
            <w:tcW w:type="dxa" w:w="2213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0.48 / 0.30</w:t>
            </w:r>
          </w:p>
        </w:tc>
        <w:tc>
          <w:tcPr>
            <w:tcW w:type="dxa" w:w="3213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Histerese do evento</w:t>
            </w:r>
          </w:p>
        </w:tc>
      </w:tr>
      <w:tr>
        <w:tc>
          <w:tcPr>
            <w:tcW w:type="dxa" w:w="20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Janela AND</w:t>
            </w:r>
          </w:p>
        </w:tc>
        <w:tc>
          <w:tcPr>
            <w:tcW w:type="dxa" w:w="2212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τ_AND</w:t>
            </w:r>
          </w:p>
        </w:tc>
        <w:tc>
          <w:tcPr>
            <w:tcW w:type="dxa" w:w="2213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213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Coincidência temporal Fe–P</w:t>
            </w:r>
          </w:p>
        </w:tc>
      </w:tr>
      <w:tr>
        <w:tc>
          <w:tcPr>
            <w:tcW w:type="dxa" w:w="20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Atenuação</w:t>
            </w:r>
          </w:p>
        </w:tc>
        <w:tc>
          <w:tcPr>
            <w:tcW w:type="dxa" w:w="2212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λ_ion / λ_el</w:t>
            </w:r>
          </w:p>
        </w:tc>
        <w:tc>
          <w:tcPr>
            <w:tcW w:type="dxa" w:w="2213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0.16 / 0.48</w:t>
            </w:r>
          </w:p>
        </w:tc>
        <w:tc>
          <w:tcPr>
            <w:tcW w:type="dxa" w:w="3213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Íon curto; cabo longo</w:t>
            </w:r>
          </w:p>
        </w:tc>
      </w:tr>
    </w:tbl>
    <w:p>
      <w:pPr>
        <w:spacing w:after="220" w:before="40"/>
        <w:jc w:val="center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Tabela 1 — Constantes da porta no simulador de referência.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4. Plasticidade em duas escalas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4D3E"/>
          <w:sz w:val="26"/>
          <w:szCs w:val="26"/>
        </w:rPr>
        <w:t xml:space="preserve">4.1 STM (M)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Só a aresta que transmitiu spike há menos de τ_used e que toca um Ln sofre Hebb iônico. O resto do grafo não aprende. Decaimento exponencial ao piso 1, teto m_max = 3.2, constante de tempo τ_M = 90.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Ṁ_ij = η_M √(x_Fe,i x_P,i · x_Fe,j x_P,j) · U_ij + η_spk U_ij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M ← 1 + (M − 1) e^{−Δt/τ_M} ,     1 ≤ M ≤ m_max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U_ij é a máscara “usou e toca Ln”. Sem ela a saturação de M vaza para a malha inteira e a rota aprendida colapsa na geodésica.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4D3E"/>
          <w:sz w:val="26"/>
          <w:szCs w:val="26"/>
        </w:rPr>
        <w:t xml:space="preserve">4.2 LTP (L)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Captura lenta: M precisa permanecer acima de ϑ_LTP durante τ_cap na aresta usada, ou um AND votado se repetir no filamento. Teto l_max = 2.6, τ_L = 700.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L_eff = M ⊙ L     (teto efetivo até ≈ 8.3, acima do teto da STM)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caminho de roteamento é o de menor custo 1/(M L), não o de menor ℓ. O desenho exige LTP ≠ geodésica: o corredor potencializado é escavado fora do atalho espacial (_carve_detour) para que o bioma aprenda um hábito, não o mapa.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5. Código de repetição espacial — voto 2-de-3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Uma porta isolada é um AND frágil. Ruído ξ em Fe e P produz falso FIRE a partir de σ ≈ 0.08 (incremento σ√Δt). A LTP, se alimentada por esse evento, grava a mentira.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Cada Ln-semente recebe dois parceiros na coroa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2.2 λ_ion  &lt;  d_ij  &lt;  0.62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Não se adiciona aresta curta entre os três. O voto é lógico, não um filamento extra que acoplaria o ruído por difusão. A regra: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FIRE_i  ⇔  |{ k ∈ C(i) : aberto(k) }|  ≥  2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C(i) é o clique de i. “Aberto” é a mesma predicado Fe ∧ P ∧ ¬Zn. I_gate de i é zerada se o clique não fecha. Sem corrente, sem spike, sem last_tx, sem Hebb — o veto não vira hábito.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Ensaio (N = 48, 1400 passos, seed 11):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600"/>
        <w:gridCol w:w="2369"/>
        <w:gridCol w:w="2369"/>
      </w:tblGrid>
      <w:tr>
        <w:tc>
          <w:tcPr>
            <w:tcW w:type="dxa" w:w="17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σ</w:t>
            </w:r>
          </w:p>
        </w:tc>
        <w:tc>
          <w:tcPr>
            <w:tcW w:type="dxa" w:w="16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true isol.</w:t>
            </w:r>
          </w:p>
        </w:tc>
        <w:tc>
          <w:tcPr>
            <w:tcW w:type="dxa" w:w="16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false isol.</w:t>
            </w:r>
          </w:p>
        </w:tc>
        <w:tc>
          <w:tcPr>
            <w:tcW w:type="dxa" w:w="236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false 2-de-3</w:t>
            </w:r>
          </w:p>
        </w:tc>
        <w:tc>
          <w:tcPr>
            <w:tcW w:type="dxa" w:w="236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vetos</w:t>
            </w:r>
          </w:p>
        </w:tc>
      </w:tr>
      <w:tr>
        <w:tc>
          <w:tcPr>
            <w:tcW w:type="dxa" w:w="17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0.00</w:t>
            </w:r>
          </w:p>
        </w:tc>
        <w:tc>
          <w:tcPr>
            <w:tcW w:type="dxa" w:w="16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6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6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0.04</w:t>
            </w:r>
          </w:p>
        </w:tc>
        <w:tc>
          <w:tcPr>
            <w:tcW w:type="dxa" w:w="16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6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6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0.08</w:t>
            </w:r>
          </w:p>
        </w:tc>
        <w:tc>
          <w:tcPr>
            <w:tcW w:type="dxa" w:w="16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236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236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</w:t>
            </w:r>
          </w:p>
        </w:tc>
      </w:tr>
      <w:tr>
        <w:tc>
          <w:tcPr>
            <w:tcW w:type="dxa" w:w="17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0.16</w:t>
            </w:r>
          </w:p>
        </w:tc>
        <w:tc>
          <w:tcPr>
            <w:tcW w:type="dxa" w:w="16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87</w:t>
            </w:r>
          </w:p>
        </w:tc>
        <w:tc>
          <w:tcPr>
            <w:tcW w:type="dxa" w:w="16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249</w:t>
            </w:r>
          </w:p>
        </w:tc>
        <w:tc>
          <w:tcPr>
            <w:tcW w:type="dxa" w:w="236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223</w:t>
            </w:r>
          </w:p>
        </w:tc>
        <w:tc>
          <w:tcPr>
            <w:tcW w:type="dxa" w:w="236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184</w:t>
            </w:r>
          </w:p>
        </w:tc>
      </w:tr>
    </w:tbl>
    <w:p>
      <w:pPr>
        <w:spacing w:after="220" w:before="40"/>
        <w:jc w:val="center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Tabela 2 — Voto 2-de-3 reduz falso positivo e impede parte da LTP espúria. Não protege contra campo de ruído já espacialmente extenso.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Limite honesto: código de repetição clássico corrige erro local. Quando ξ eleva o campo em escala comparável à pluma, os três testemunham a mesma mentira. É o análogo da quebra de proteção topológica sob perturbação global. Distância entre sítios maior que λ_ion é condição necessária, não suficiente.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6. Energia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E_ARCAM = n_spike · e_spike + n_FIRE · e_event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E_clássico = N · T · e_poll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clássico pergunta a todos os nós em todos os passos. O ARCAM só gasta no disparo. A razão E_clássico / E_ARCAM no regime de plumas esparsas cai na casa de 10³–10⁴ no simulador (valores adimensionais de ensaio, não joules de bancada). A origem do ganho não é um material milagroso: é a recusa de relógio global.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7. Roteamento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Fonte de Fe e destino são colocados em cantos opostos do cubo. Análise ao fim da corrida: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geodésica = shortest path em ℓ;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rota LTP = shortest path em 1/(M L);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métricas: hops, L médio no caminho, interseção de nós, atraso fonte→destino, χ residual no destino (atenuação iônica).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critério de sucesso arquitetural é LTP ≠ geo com sinal ainda chegando ao destino. Saturação global de L anula esse critério: o grafo inteiro “aprendeu” e o atalho geométrico volta a vencer. Daí a máscara U_ij.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8. O que o modelo é e o que não é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 uma arquitetura teórica com simulador executável (grafo 3D, três espécies, porta Hill, STM/LTP local, voto 2-de-3, animação da pluma).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Não é a afirmação de que um fungo amazônico específico implementa I_Ln = G θ_P (1−θ_Zn) x_Fe^n. Isso seria fisiologia, ainda não medida neste projeto.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Não é um qubit. A metáfora topológica vale para a localização da informação (relação, não ponto), não para anyon nem gap de energia a mK.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Não é um produto. Terras raras entram como transdutores conceituais e como fato geopolítico brasileiro — não como BOM de fabricação.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9. Equação-resumo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y = 1[ voto_2/3 ( Fe ∧ P ∧ ¬Zn ) ]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 alimenta I_gate, o spike, a máscara U e, só então, L. Tudo que não passa em y é invisível para a memória longa. Essa assimetria — detectar barato, gravar caro e só o que foi testemunhado — é o núcleo de ultra-baixo consumo do ARCAM.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10. Implementação de referência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Código: simular_rede_hifal.py (motor), animar_rede_hifal.py (GIF 3D), simulador.py (entrada). Saídas típicas em sim_hifal/: painel da porta, raster FIRE/BLOCK, malha 3D com corredor LTP, varredura de ruído com e sem voto.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Reprodução mínima: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python simulador.py --simular --nodes 64 --steps 2000</w:t>
      </w:r>
    </w:p>
    <w:p>
      <w:pPr>
        <w:shd w:fill="F3F6F3" w:val="clear"/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color w:val="1B4D3E"/>
          <w:sz w:val="22"/>
          <w:szCs w:val="22"/>
        </w:rPr>
        <w:t xml:space="preserve">python simulador.py --animar --nodes 48 --steps 1600 --stride 8</w:t>
      </w:r>
    </w:p>
    <w:p>
      <w:pPr>
        <w:spacing w:after="80" w:before="360"/>
      </w:pPr>
      <w:r>
        <w:rPr>
          <w:rFonts w:ascii="Calibri" w:cs="Calibri" w:eastAsia="Calibri" w:hAnsi="Calibri"/>
          <w:b/>
          <w:bCs/>
          <w:color w:val="1B4D3E"/>
          <w:sz w:val="20"/>
          <w:szCs w:val="20"/>
        </w:rPr>
        <w:t xml:space="preserve">Nota</w:t>
      </w:r>
    </w:p>
    <w:p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Documento técnico complementar ao guia para leigos (ARCAM-biocomputacao-para-leigos.docx). Parâmetros e métricas referem-se ao simulador de 26/09/2026. Números de energia são unidades arbitrárias de ensaio. Correções experimentais em solo amazônico permanecem em aberto.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C5C5C"/>
        <w:sz w:val="16"/>
        <w:szCs w:val="16"/>
      </w:rPr>
      <w:t xml:space="preserve">versão técnica  ·  p. </w:t>
    </w:r>
    <w:r>
      <w:rPr>
        <w:rFonts w:ascii="Calibri" w:cs="Calibri" w:eastAsia="Calibri" w:hAnsi="Calibri"/>
        <w:color w:val="5C5C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5C5C5C"/>
        <w:sz w:val="16"/>
        <w:szCs w:val="16"/>
      </w:rPr>
      <w:t xml:space="preserve">ARCAM-Δχ  ·  nota técnica  ·  malha hifal como computador de eventos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B4D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B4D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2026-09-27T01:20:52.972Z</dcterms:created>
  <dcterms:modified xsi:type="dcterms:W3CDTF">2026-09-27T01:20:52.972Z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