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0A53" w14:textId="0DB4D8A0" w:rsidR="00206D2C" w:rsidRDefault="00206D2C" w:rsidP="00A4293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center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2498CB96" w14:textId="12493FCC" w:rsidR="00206D2C" w:rsidRDefault="00206D2C" w:rsidP="00A4293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center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14:paraId="14C708E2" w14:textId="3E9D78C2" w:rsidR="00206D2C" w:rsidRDefault="00206D2C" w:rsidP="00A4293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center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3A2E6DD6" w14:textId="6EF52645" w:rsidR="004C0E7A" w:rsidRDefault="004C0E7A" w:rsidP="00A4293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center"/>
        <w:rPr>
          <w:rFonts w:ascii="Arial" w:hAnsi="Arial" w:cs="Arial"/>
          <w:color w:val="2B2B2B"/>
        </w:rPr>
      </w:pPr>
      <w:r w:rsidRPr="004C0E7A">
        <w:rPr>
          <w:rFonts w:ascii="Arial" w:hAnsi="Arial" w:cs="Arial"/>
          <w:color w:val="2B2B2B"/>
        </w:rPr>
        <w:t>Use your data to determine if there is more variability with successful or unsuccessful campaigns. Does this make sense? Why or why not?</w:t>
      </w:r>
    </w:p>
    <w:p w14:paraId="03800CDC" w14:textId="50438876" w:rsidR="00383FFC" w:rsidRDefault="00383FFC" w:rsidP="00A42938">
      <w:pPr>
        <w:jc w:val="center"/>
      </w:pPr>
    </w:p>
    <w:p w14:paraId="45EB888B" w14:textId="6DCF527E" w:rsidR="00886C83" w:rsidRDefault="00886C83" w:rsidP="00A42938">
      <w:pPr>
        <w:pStyle w:val="NormalWeb"/>
        <w:spacing w:before="15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266488CF" w14:textId="6DB2243A" w:rsidR="00A444ED" w:rsidRPr="00886C83" w:rsidRDefault="00A444ED" w:rsidP="00A444ED">
      <w:pPr>
        <w:pStyle w:val="NormalWeb"/>
        <w:spacing w:before="150" w:beforeAutospacing="0" w:after="0" w:afterAutospacing="0"/>
        <w:ind w:left="1080"/>
        <w:jc w:val="both"/>
        <w:rPr>
          <w:rFonts w:ascii="Roboto" w:hAnsi="Roboto"/>
          <w:color w:val="2B2B2B"/>
          <w:sz w:val="30"/>
          <w:szCs w:val="30"/>
        </w:rPr>
      </w:pPr>
      <w:r>
        <w:rPr>
          <w:color w:val="000000"/>
          <w:sz w:val="27"/>
          <w:szCs w:val="27"/>
        </w:rPr>
        <w:t>1)</w:t>
      </w:r>
      <w:r>
        <w:rPr>
          <w:color w:val="000000"/>
          <w:sz w:val="27"/>
          <w:szCs w:val="27"/>
        </w:rPr>
        <w:t>The three conclusions we can draw from the Kickstarter campaigns are:</w:t>
      </w:r>
    </w:p>
    <w:p w14:paraId="459CAB4D" w14:textId="77777777" w:rsidR="00A444ED" w:rsidRPr="007D5ADD" w:rsidRDefault="00A444ED" w:rsidP="00A42938">
      <w:pPr>
        <w:pStyle w:val="NormalWeb"/>
        <w:spacing w:before="150" w:beforeAutospacing="0" w:after="0" w:afterAutospacing="0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303D6981" w14:textId="686A453F" w:rsidR="007D66AE" w:rsidRDefault="007D66AE" w:rsidP="00A42938">
      <w:pPr>
        <w:pStyle w:val="NormalWeb"/>
        <w:numPr>
          <w:ilvl w:val="0"/>
          <w:numId w:val="5"/>
        </w:numPr>
        <w:spacing w:before="15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Conclusion:</w:t>
      </w:r>
    </w:p>
    <w:p w14:paraId="3292E345" w14:textId="531E72AD" w:rsidR="001F4FF9" w:rsidRDefault="007D5ADD" w:rsidP="00A42938">
      <w:pPr>
        <w:pStyle w:val="NormalWeb"/>
        <w:spacing w:before="150" w:beforeAutospacing="0" w:after="0" w:afterAutospacing="0" w:line="360" w:lineRule="atLeast"/>
        <w:ind w:left="70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data shows clearly that some categor</w:t>
      </w:r>
      <w:r w:rsidR="001F4FF9">
        <w:rPr>
          <w:color w:val="000000"/>
          <w:sz w:val="27"/>
          <w:szCs w:val="27"/>
        </w:rPr>
        <w:t>ies</w:t>
      </w:r>
      <w:r>
        <w:rPr>
          <w:color w:val="000000"/>
          <w:sz w:val="27"/>
          <w:szCs w:val="27"/>
        </w:rPr>
        <w:t xml:space="preserve"> </w:t>
      </w:r>
      <w:r w:rsidR="001F4FF9">
        <w:rPr>
          <w:color w:val="000000"/>
          <w:sz w:val="27"/>
          <w:szCs w:val="27"/>
        </w:rPr>
        <w:t>are easier</w:t>
      </w:r>
      <w:r>
        <w:rPr>
          <w:color w:val="000000"/>
          <w:sz w:val="27"/>
          <w:szCs w:val="27"/>
        </w:rPr>
        <w:t xml:space="preserve"> to fundrais</w:t>
      </w:r>
      <w:r w:rsidR="001F4FF9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 for than others.</w:t>
      </w:r>
      <w:r w:rsidR="001F4FF9">
        <w:rPr>
          <w:color w:val="000000"/>
          <w:sz w:val="27"/>
          <w:szCs w:val="27"/>
        </w:rPr>
        <w:t xml:space="preserve"> The most popular categories, for</w:t>
      </w:r>
      <w:r w:rsidR="001F4FF9" w:rsidRPr="001F4FF9">
        <w:rPr>
          <w:color w:val="000000"/>
          <w:sz w:val="27"/>
          <w:szCs w:val="27"/>
        </w:rPr>
        <w:t xml:space="preserve"> example, </w:t>
      </w:r>
      <w:r w:rsidR="001F4FF9">
        <w:rPr>
          <w:color w:val="000000"/>
          <w:sz w:val="27"/>
          <w:szCs w:val="27"/>
        </w:rPr>
        <w:t>theaters</w:t>
      </w:r>
      <w:r w:rsidR="001F4FF9" w:rsidRPr="001F4FF9">
        <w:rPr>
          <w:color w:val="000000"/>
          <w:sz w:val="27"/>
          <w:szCs w:val="27"/>
        </w:rPr>
        <w:t xml:space="preserve"> raised the most money and had t</w:t>
      </w:r>
      <w:r w:rsidR="001F4FF9">
        <w:rPr>
          <w:color w:val="000000"/>
          <w:sz w:val="27"/>
          <w:szCs w:val="27"/>
        </w:rPr>
        <w:t>he most campaigns.</w:t>
      </w:r>
      <w:r w:rsidR="007D66AE">
        <w:rPr>
          <w:color w:val="000000"/>
          <w:sz w:val="27"/>
          <w:szCs w:val="27"/>
        </w:rPr>
        <w:t xml:space="preserve"> This is also shown when </w:t>
      </w:r>
      <w:r w:rsidR="00CA5D6A">
        <w:rPr>
          <w:color w:val="000000"/>
          <w:sz w:val="27"/>
          <w:szCs w:val="27"/>
        </w:rPr>
        <w:t>analyzing</w:t>
      </w:r>
      <w:r w:rsidR="007D66AE">
        <w:rPr>
          <w:color w:val="000000"/>
          <w:sz w:val="27"/>
          <w:szCs w:val="27"/>
        </w:rPr>
        <w:t xml:space="preserve"> sub-categories. When looking at sub-categories </w:t>
      </w:r>
      <w:r w:rsidR="00CA5D6A">
        <w:rPr>
          <w:color w:val="000000"/>
          <w:sz w:val="27"/>
          <w:szCs w:val="27"/>
        </w:rPr>
        <w:t>of entertainment</w:t>
      </w:r>
      <w:r w:rsidR="007D66AE">
        <w:rPr>
          <w:color w:val="000000"/>
          <w:sz w:val="27"/>
          <w:szCs w:val="27"/>
        </w:rPr>
        <w:t xml:space="preserve"> animations</w:t>
      </w:r>
      <w:r w:rsidR="00CA5D6A">
        <w:rPr>
          <w:color w:val="000000"/>
          <w:sz w:val="27"/>
          <w:szCs w:val="27"/>
        </w:rPr>
        <w:t xml:space="preserve"> and nonfiction were both greater than 62% successful.</w:t>
      </w:r>
    </w:p>
    <w:p w14:paraId="4BAD57AF" w14:textId="03EC4A89" w:rsidR="007D5ADD" w:rsidRDefault="001F4FF9" w:rsidP="00A42938">
      <w:pPr>
        <w:pStyle w:val="NormalWeb"/>
        <w:spacing w:before="15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Analysis also shows that photography, publishing and technology were more </w:t>
      </w:r>
      <w:r w:rsidR="007D66AE"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>successful than others. On the other hand, although journalism had only four campaigns, they were all the successful</w:t>
      </w:r>
      <w:r w:rsidR="00CA5D6A">
        <w:rPr>
          <w:color w:val="000000"/>
          <w:sz w:val="27"/>
          <w:szCs w:val="27"/>
        </w:rPr>
        <w:t>. This is difficult to evaluate because of the small sample size.</w:t>
      </w:r>
    </w:p>
    <w:p w14:paraId="70998146" w14:textId="2AA29A94" w:rsidR="00CA5D6A" w:rsidRDefault="00CA5D6A" w:rsidP="00A4293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Conclusion:</w:t>
      </w:r>
    </w:p>
    <w:p w14:paraId="3B10E0BB" w14:textId="1AF42C9C" w:rsidR="00CA5D6A" w:rsidRDefault="00CA5D6A" w:rsidP="00A42938">
      <w:pPr>
        <w:pStyle w:val="NormalWeb"/>
        <w:spacing w:before="150" w:beforeAutospacing="0" w:after="0" w:afterAutospacing="0" w:line="360" w:lineRule="atLeast"/>
        <w:ind w:left="70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larger the campaigns goal the smaller the probability of success.</w:t>
      </w:r>
    </w:p>
    <w:p w14:paraId="389ED817" w14:textId="4E9113DB" w:rsidR="00CA5D6A" w:rsidRDefault="001A3BC9" w:rsidP="00A4293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jc w:val="center"/>
        <w:rPr>
          <w:color w:val="000000"/>
          <w:sz w:val="27"/>
          <w:szCs w:val="27"/>
          <w:lang w:val="pt-BR"/>
        </w:rPr>
      </w:pPr>
      <w:r>
        <w:rPr>
          <w:color w:val="000000"/>
          <w:sz w:val="27"/>
          <w:szCs w:val="27"/>
          <w:lang w:val="pt-BR"/>
        </w:rPr>
        <w:t>Conclusion:</w:t>
      </w:r>
    </w:p>
    <w:p w14:paraId="2EB3A342" w14:textId="502F99B5" w:rsidR="001A3BC9" w:rsidRDefault="001A3BC9" w:rsidP="00A42938">
      <w:pPr>
        <w:pStyle w:val="NormalWeb"/>
        <w:spacing w:before="150" w:beforeAutospacing="0" w:after="0" w:afterAutospacing="0" w:line="360" w:lineRule="atLeast"/>
        <w:ind w:left="700"/>
        <w:jc w:val="center"/>
        <w:rPr>
          <w:color w:val="000000"/>
          <w:sz w:val="27"/>
          <w:szCs w:val="27"/>
        </w:rPr>
      </w:pPr>
      <w:r w:rsidRPr="001A3BC9">
        <w:rPr>
          <w:color w:val="000000"/>
          <w:sz w:val="27"/>
          <w:szCs w:val="27"/>
        </w:rPr>
        <w:t>The data also shows t</w:t>
      </w:r>
      <w:r>
        <w:rPr>
          <w:color w:val="000000"/>
          <w:sz w:val="27"/>
          <w:szCs w:val="27"/>
        </w:rPr>
        <w:t xml:space="preserve">he months of the year influences the success </w:t>
      </w:r>
      <w:proofErr w:type="gramStart"/>
      <w:r>
        <w:rPr>
          <w:color w:val="000000"/>
          <w:sz w:val="27"/>
          <w:szCs w:val="27"/>
        </w:rPr>
        <w:t>rate</w:t>
      </w:r>
      <w:proofErr w:type="gramEnd"/>
    </w:p>
    <w:p w14:paraId="3A969651" w14:textId="2460110C" w:rsidR="001A3BC9" w:rsidRPr="001A3BC9" w:rsidRDefault="001A3BC9" w:rsidP="00A42938">
      <w:pPr>
        <w:pStyle w:val="NormalWeb"/>
        <w:spacing w:before="150" w:beforeAutospacing="0" w:after="0" w:afterAutospacing="0" w:line="360" w:lineRule="atLeast"/>
        <w:ind w:left="70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of campaign. For example, June and July were the best months for fundraising and </w:t>
      </w:r>
      <w:r w:rsidR="004F66A4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ay and </w:t>
      </w:r>
      <w:r w:rsidR="004F66A4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ugust were the worst.</w:t>
      </w:r>
    </w:p>
    <w:p w14:paraId="587C052C" w14:textId="77777777" w:rsidR="001A3BC9" w:rsidRPr="001A3BC9" w:rsidRDefault="001A3BC9" w:rsidP="00A42938">
      <w:pPr>
        <w:pStyle w:val="NormalWeb"/>
        <w:spacing w:before="150" w:beforeAutospacing="0" w:after="0" w:afterAutospacing="0" w:line="360" w:lineRule="atLeast"/>
        <w:ind w:left="700"/>
        <w:jc w:val="center"/>
        <w:rPr>
          <w:color w:val="000000"/>
          <w:sz w:val="27"/>
          <w:szCs w:val="27"/>
        </w:rPr>
      </w:pPr>
    </w:p>
    <w:p w14:paraId="5EAEEC21" w14:textId="147AD1ED" w:rsidR="001F4FF9" w:rsidRDefault="001F4FF9" w:rsidP="00A42938">
      <w:pPr>
        <w:pStyle w:val="NormalWeb"/>
        <w:tabs>
          <w:tab w:val="left" w:pos="1220"/>
        </w:tabs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</w:p>
    <w:p w14:paraId="320AC34E" w14:textId="61F348F9" w:rsidR="003461FC" w:rsidRDefault="003461FC" w:rsidP="00A42938">
      <w:pPr>
        <w:pStyle w:val="NormalWeb"/>
        <w:tabs>
          <w:tab w:val="left" w:pos="1220"/>
        </w:tabs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</w:p>
    <w:p w14:paraId="4D4356CB" w14:textId="77777777" w:rsidR="003461FC" w:rsidRPr="001A3BC9" w:rsidRDefault="003461FC" w:rsidP="00A42938">
      <w:pPr>
        <w:pStyle w:val="NormalWeb"/>
        <w:tabs>
          <w:tab w:val="left" w:pos="1220"/>
        </w:tabs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</w:p>
    <w:p w14:paraId="3C05213D" w14:textId="3CBEB78C" w:rsidR="003461FC" w:rsidRPr="003461FC" w:rsidRDefault="003461FC" w:rsidP="00A4293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 w:rsidRPr="003461FC">
        <w:rPr>
          <w:color w:val="000000"/>
          <w:sz w:val="27"/>
          <w:szCs w:val="27"/>
        </w:rPr>
        <w:t>Limit</w:t>
      </w:r>
      <w:r>
        <w:rPr>
          <w:color w:val="000000"/>
          <w:sz w:val="27"/>
          <w:szCs w:val="27"/>
        </w:rPr>
        <w:t>ations:</w:t>
      </w:r>
    </w:p>
    <w:p w14:paraId="5D1291F8" w14:textId="46D43F66" w:rsidR="00067850" w:rsidRDefault="004F66A4" w:rsidP="00A42938">
      <w:pPr>
        <w:pStyle w:val="NormalWeb"/>
        <w:spacing w:before="150" w:beforeAutospacing="0" w:after="0" w:afterAutospacing="0" w:line="360" w:lineRule="atLeast"/>
        <w:ind w:left="1080"/>
        <w:jc w:val="center"/>
        <w:rPr>
          <w:color w:val="000000"/>
          <w:sz w:val="27"/>
          <w:szCs w:val="27"/>
        </w:rPr>
      </w:pPr>
      <w:r w:rsidRPr="004F66A4">
        <w:rPr>
          <w:color w:val="000000"/>
          <w:sz w:val="27"/>
          <w:szCs w:val="27"/>
        </w:rPr>
        <w:t>We are limited by d</w:t>
      </w:r>
      <w:r>
        <w:rPr>
          <w:color w:val="000000"/>
          <w:sz w:val="27"/>
          <w:szCs w:val="27"/>
        </w:rPr>
        <w:t xml:space="preserve">ata samples size when trying to compare categories, for example, journalism has only four campaigns </w:t>
      </w:r>
      <w:r w:rsidR="003461FC">
        <w:rPr>
          <w:color w:val="000000"/>
          <w:sz w:val="27"/>
          <w:szCs w:val="27"/>
        </w:rPr>
        <w:t>and had</w:t>
      </w:r>
      <w:r>
        <w:rPr>
          <w:color w:val="000000"/>
          <w:sz w:val="27"/>
          <w:szCs w:val="27"/>
        </w:rPr>
        <w:t xml:space="preserve"> a 100% success rate, whereas theater with almost 350 campaigns had a success rate of 54%. It is possible </w:t>
      </w:r>
      <w:r w:rsidR="003461FC">
        <w:rPr>
          <w:color w:val="000000"/>
          <w:sz w:val="27"/>
          <w:szCs w:val="27"/>
        </w:rPr>
        <w:t>that</w:t>
      </w:r>
      <w:r>
        <w:rPr>
          <w:color w:val="000000"/>
          <w:sz w:val="27"/>
          <w:szCs w:val="27"/>
        </w:rPr>
        <w:t xml:space="preserve"> </w:t>
      </w:r>
      <w:r w:rsidR="003461FC">
        <w:rPr>
          <w:color w:val="000000"/>
          <w:sz w:val="27"/>
          <w:szCs w:val="27"/>
        </w:rPr>
        <w:t>journalism’s</w:t>
      </w:r>
      <w:r>
        <w:rPr>
          <w:color w:val="000000"/>
          <w:sz w:val="27"/>
          <w:szCs w:val="27"/>
        </w:rPr>
        <w:t xml:space="preserve"> success</w:t>
      </w:r>
      <w:r w:rsidR="003461FC">
        <w:rPr>
          <w:color w:val="000000"/>
          <w:sz w:val="27"/>
          <w:szCs w:val="27"/>
        </w:rPr>
        <w:t xml:space="preserve"> rate would be lower with a higher </w:t>
      </w:r>
      <w:proofErr w:type="gramStart"/>
      <w:r w:rsidR="003461FC">
        <w:rPr>
          <w:color w:val="000000"/>
          <w:sz w:val="27"/>
          <w:szCs w:val="27"/>
        </w:rPr>
        <w:t>a number of</w:t>
      </w:r>
      <w:proofErr w:type="gramEnd"/>
      <w:r w:rsidR="003461FC">
        <w:rPr>
          <w:color w:val="000000"/>
          <w:sz w:val="27"/>
          <w:szCs w:val="27"/>
        </w:rPr>
        <w:t xml:space="preserve"> campaigns.</w:t>
      </w:r>
    </w:p>
    <w:p w14:paraId="1366740D" w14:textId="7B9448BA" w:rsidR="003461FC" w:rsidRDefault="003461FC" w:rsidP="00A4293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Charts and Graphics:</w:t>
      </w:r>
    </w:p>
    <w:p w14:paraId="02B703BB" w14:textId="256DFE1A" w:rsidR="003461FC" w:rsidRDefault="003461FC" w:rsidP="00A42938">
      <w:pPr>
        <w:pStyle w:val="NormalWeb"/>
        <w:spacing w:before="150" w:beforeAutospacing="0" w:after="0" w:afterAutospacing="0" w:line="360" w:lineRule="atLeast"/>
        <w:ind w:left="10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One could make histograms and box plots to </w:t>
      </w:r>
      <w:r w:rsidR="004C0E7A">
        <w:rPr>
          <w:color w:val="000000"/>
          <w:sz w:val="27"/>
          <w:szCs w:val="27"/>
        </w:rPr>
        <w:t xml:space="preserve">compare the different </w:t>
      </w:r>
      <w:r w:rsidR="00A444ED">
        <w:rPr>
          <w:color w:val="000000"/>
          <w:sz w:val="27"/>
          <w:szCs w:val="27"/>
        </w:rPr>
        <w:t>in distributions</w:t>
      </w:r>
      <w:r w:rsidR="004C0E7A">
        <w:rPr>
          <w:color w:val="000000"/>
          <w:sz w:val="27"/>
          <w:szCs w:val="27"/>
        </w:rPr>
        <w:t xml:space="preserve"> of successful verses unsuccessful campaigns </w:t>
      </w:r>
      <w:proofErr w:type="gramStart"/>
      <w:r w:rsidR="004C0E7A">
        <w:rPr>
          <w:color w:val="000000"/>
          <w:sz w:val="27"/>
          <w:szCs w:val="27"/>
        </w:rPr>
        <w:t>in regard to</w:t>
      </w:r>
      <w:proofErr w:type="gramEnd"/>
      <w:r w:rsidR="004C0E7A">
        <w:rPr>
          <w:color w:val="000000"/>
          <w:sz w:val="27"/>
          <w:szCs w:val="27"/>
        </w:rPr>
        <w:t xml:space="preserve"> the length of campaign times.  This could discover the best length time needed to run a successful campaign.</w:t>
      </w:r>
    </w:p>
    <w:p w14:paraId="5DAE8920" w14:textId="0BCF8810" w:rsidR="004C0E7A" w:rsidRDefault="004C0E7A" w:rsidP="00A42938">
      <w:pPr>
        <w:pStyle w:val="NormalWeb"/>
        <w:spacing w:before="150" w:beforeAutospacing="0" w:after="0" w:afterAutospacing="0" w:line="360" w:lineRule="atLeast"/>
        <w:ind w:left="1080"/>
        <w:jc w:val="center"/>
        <w:rPr>
          <w:color w:val="000000"/>
          <w:sz w:val="27"/>
          <w:szCs w:val="27"/>
        </w:rPr>
      </w:pPr>
    </w:p>
    <w:p w14:paraId="33A395D2" w14:textId="5C91618B" w:rsidR="004C0E7A" w:rsidRDefault="00A444ED" w:rsidP="00A4293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Variability:</w:t>
      </w:r>
    </w:p>
    <w:p w14:paraId="02755A36" w14:textId="325E3326" w:rsidR="004C0E7A" w:rsidRDefault="004C0E7A" w:rsidP="00A42938">
      <w:pPr>
        <w:pStyle w:val="NormalWeb"/>
        <w:spacing w:before="150" w:beforeAutospacing="0" w:after="0" w:afterAutospacing="0" w:line="360" w:lineRule="atLeast"/>
        <w:ind w:left="10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Successful campaigns had an approximately 30% higher variance than unsuccessful campaigns. This could be </w:t>
      </w:r>
      <w:proofErr w:type="gramStart"/>
      <w:r>
        <w:rPr>
          <w:color w:val="000000"/>
          <w:sz w:val="27"/>
          <w:szCs w:val="27"/>
        </w:rPr>
        <w:t>d</w:t>
      </w:r>
      <w:r w:rsidR="00A42938">
        <w:rPr>
          <w:color w:val="000000"/>
          <w:sz w:val="27"/>
          <w:szCs w:val="27"/>
        </w:rPr>
        <w:t>ue</w:t>
      </w:r>
      <w:r>
        <w:rPr>
          <w:color w:val="000000"/>
          <w:sz w:val="27"/>
          <w:szCs w:val="27"/>
        </w:rPr>
        <w:t xml:space="preserve"> to the fa</w:t>
      </w:r>
      <w:r w:rsidR="00A42938">
        <w:rPr>
          <w:color w:val="000000"/>
          <w:sz w:val="27"/>
          <w:szCs w:val="27"/>
        </w:rPr>
        <w:t>ct that</w:t>
      </w:r>
      <w:proofErr w:type="gramEnd"/>
      <w:r w:rsidR="00A4293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the successful campaigns </w:t>
      </w:r>
      <w:r w:rsidR="00A42938">
        <w:rPr>
          <w:color w:val="000000"/>
          <w:sz w:val="27"/>
          <w:szCs w:val="27"/>
        </w:rPr>
        <w:t>variance</w:t>
      </w:r>
      <w:r>
        <w:rPr>
          <w:color w:val="000000"/>
          <w:sz w:val="27"/>
          <w:szCs w:val="27"/>
        </w:rPr>
        <w:t xml:space="preserve"> had more backers than unsuccessful campaigns</w:t>
      </w:r>
      <w:r w:rsidR="00A42938">
        <w:rPr>
          <w:color w:val="000000"/>
          <w:sz w:val="27"/>
          <w:szCs w:val="27"/>
        </w:rPr>
        <w:t xml:space="preserve">. However, the histograms were both strongly skewed to the </w:t>
      </w:r>
      <w:r w:rsidR="00A444ED">
        <w:rPr>
          <w:color w:val="000000"/>
          <w:sz w:val="27"/>
          <w:szCs w:val="27"/>
        </w:rPr>
        <w:t>left,</w:t>
      </w:r>
      <w:r w:rsidR="00A42938">
        <w:rPr>
          <w:color w:val="000000"/>
          <w:sz w:val="27"/>
          <w:szCs w:val="27"/>
        </w:rPr>
        <w:t xml:space="preserve"> so they had very similar distributions. The box and whisker plots for successful and unsuccessful campaign distributions were also very similar except for absolute value quantities.</w:t>
      </w:r>
    </w:p>
    <w:p w14:paraId="5A91FA83" w14:textId="77777777" w:rsidR="003461FC" w:rsidRDefault="003461FC" w:rsidP="003461FC">
      <w:pPr>
        <w:pStyle w:val="NormalWeb"/>
        <w:spacing w:before="150" w:beforeAutospacing="0" w:after="0" w:afterAutospacing="0" w:line="360" w:lineRule="atLeast"/>
        <w:ind w:left="1080"/>
        <w:rPr>
          <w:color w:val="000000"/>
          <w:sz w:val="27"/>
          <w:szCs w:val="27"/>
        </w:rPr>
      </w:pPr>
    </w:p>
    <w:p w14:paraId="246039CB" w14:textId="05C3F4CB" w:rsidR="003461FC" w:rsidRDefault="003461FC" w:rsidP="003461FC">
      <w:pPr>
        <w:pStyle w:val="NormalWeb"/>
        <w:spacing w:before="150" w:beforeAutospacing="0" w:after="0" w:afterAutospacing="0" w:line="360" w:lineRule="atLeast"/>
        <w:rPr>
          <w:color w:val="000000"/>
          <w:sz w:val="27"/>
          <w:szCs w:val="27"/>
        </w:rPr>
      </w:pPr>
    </w:p>
    <w:sectPr w:rsidR="00346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45EB" w14:textId="77777777" w:rsidR="0042666D" w:rsidRDefault="0042666D" w:rsidP="0042666D">
      <w:pPr>
        <w:spacing w:after="0" w:line="240" w:lineRule="auto"/>
      </w:pPr>
      <w:r>
        <w:separator/>
      </w:r>
    </w:p>
  </w:endnote>
  <w:endnote w:type="continuationSeparator" w:id="0">
    <w:p w14:paraId="3F874F65" w14:textId="77777777" w:rsidR="0042666D" w:rsidRDefault="0042666D" w:rsidP="0042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CED5" w14:textId="77777777" w:rsidR="0042666D" w:rsidRDefault="0042666D" w:rsidP="0042666D">
      <w:pPr>
        <w:spacing w:after="0" w:line="240" w:lineRule="auto"/>
      </w:pPr>
      <w:r>
        <w:separator/>
      </w:r>
    </w:p>
  </w:footnote>
  <w:footnote w:type="continuationSeparator" w:id="0">
    <w:p w14:paraId="418286E7" w14:textId="77777777" w:rsidR="0042666D" w:rsidRDefault="0042666D" w:rsidP="0042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71F2" w14:textId="1EFB8978" w:rsidR="0042666D" w:rsidRDefault="0042666D">
    <w:pPr>
      <w:pStyle w:val="Header"/>
    </w:pPr>
    <w:r>
      <w:t xml:space="preserve">Talita </w:t>
    </w:r>
    <w:proofErr w:type="spellStart"/>
    <w:r>
      <w:t>Urzeda</w:t>
    </w:r>
    <w:proofErr w:type="spellEnd"/>
  </w:p>
  <w:p w14:paraId="32D58049" w14:textId="6511ADC6" w:rsidR="0042666D" w:rsidRDefault="0042666D">
    <w:pPr>
      <w:pStyle w:val="Header"/>
    </w:pPr>
    <w:r>
      <w:t>01/29/2023</w:t>
    </w:r>
  </w:p>
  <w:p w14:paraId="7D5C35E2" w14:textId="77777777" w:rsidR="0042666D" w:rsidRDefault="0042666D">
    <w:pPr>
      <w:pStyle w:val="Header"/>
    </w:pPr>
  </w:p>
  <w:p w14:paraId="30E90E75" w14:textId="271BCC90" w:rsidR="0042666D" w:rsidRDefault="0042666D">
    <w:pPr>
      <w:pStyle w:val="Header"/>
    </w:pPr>
    <w:r>
      <w:t>Module 1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734D"/>
    <w:multiLevelType w:val="hybridMultilevel"/>
    <w:tmpl w:val="D4C64070"/>
    <w:lvl w:ilvl="0" w:tplc="973A2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A1E3A"/>
    <w:multiLevelType w:val="multilevel"/>
    <w:tmpl w:val="7BE0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10C2A"/>
    <w:multiLevelType w:val="hybridMultilevel"/>
    <w:tmpl w:val="8A428670"/>
    <w:lvl w:ilvl="0" w:tplc="C28C2FC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5DC634A8"/>
    <w:multiLevelType w:val="multilevel"/>
    <w:tmpl w:val="A07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776F8"/>
    <w:multiLevelType w:val="hybridMultilevel"/>
    <w:tmpl w:val="A2924886"/>
    <w:lvl w:ilvl="0" w:tplc="FFB2F19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0140532">
    <w:abstractNumId w:val="3"/>
  </w:num>
  <w:num w:numId="2" w16cid:durableId="302125528">
    <w:abstractNumId w:val="1"/>
  </w:num>
  <w:num w:numId="3" w16cid:durableId="1934897657">
    <w:abstractNumId w:val="0"/>
  </w:num>
  <w:num w:numId="4" w16cid:durableId="1872263339">
    <w:abstractNumId w:val="4"/>
  </w:num>
  <w:num w:numId="5" w16cid:durableId="47259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4"/>
    <w:rsid w:val="00067850"/>
    <w:rsid w:val="000D2484"/>
    <w:rsid w:val="00145B0E"/>
    <w:rsid w:val="001A3BC9"/>
    <w:rsid w:val="001F4FF9"/>
    <w:rsid w:val="00206D2C"/>
    <w:rsid w:val="00264572"/>
    <w:rsid w:val="00267DF8"/>
    <w:rsid w:val="002B00F3"/>
    <w:rsid w:val="00334B14"/>
    <w:rsid w:val="003461FC"/>
    <w:rsid w:val="00365FA6"/>
    <w:rsid w:val="00383FFC"/>
    <w:rsid w:val="003A1E7E"/>
    <w:rsid w:val="0042666D"/>
    <w:rsid w:val="004C0E7A"/>
    <w:rsid w:val="004F66A4"/>
    <w:rsid w:val="00512DFB"/>
    <w:rsid w:val="005371E3"/>
    <w:rsid w:val="00791897"/>
    <w:rsid w:val="007D5ADD"/>
    <w:rsid w:val="007D66AE"/>
    <w:rsid w:val="00872A57"/>
    <w:rsid w:val="00886C83"/>
    <w:rsid w:val="008A6B57"/>
    <w:rsid w:val="009510A7"/>
    <w:rsid w:val="009D476C"/>
    <w:rsid w:val="00A42938"/>
    <w:rsid w:val="00A444ED"/>
    <w:rsid w:val="00BB3DD8"/>
    <w:rsid w:val="00CA5D6A"/>
    <w:rsid w:val="00CF31DB"/>
    <w:rsid w:val="00D77BCE"/>
    <w:rsid w:val="00ED47B4"/>
    <w:rsid w:val="00F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D13C"/>
  <w15:chartTrackingRefBased/>
  <w15:docId w15:val="{43BFF37B-735F-4188-AD77-9CB270F3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6D"/>
  </w:style>
  <w:style w:type="paragraph" w:styleId="Footer">
    <w:name w:val="footer"/>
    <w:basedOn w:val="Normal"/>
    <w:link w:val="FooterChar"/>
    <w:uiPriority w:val="99"/>
    <w:unhideWhenUsed/>
    <w:rsid w:val="0042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morehead</dc:creator>
  <cp:keywords/>
  <dc:description/>
  <cp:lastModifiedBy>talita morehead</cp:lastModifiedBy>
  <cp:revision>2</cp:revision>
  <dcterms:created xsi:type="dcterms:W3CDTF">2023-01-30T20:02:00Z</dcterms:created>
  <dcterms:modified xsi:type="dcterms:W3CDTF">2023-01-30T20:02:00Z</dcterms:modified>
</cp:coreProperties>
</file>