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ff599e92c8c6f564744b0053435cd8340e3915"/>
      <w:r>
        <w:t xml:space="preserve">BTI Voice — Productization Plan (Selling Track)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2026-08-18 ·</w:t>
      </w:r>
      <w:r>
        <w:t xml:space="preserve"> </w:t>
      </w:r>
      <w:r>
        <w:rPr>
          <w:b/>
        </w:rPr>
        <w:t xml:space="preserve">Decisions made with Danny</w:t>
      </w:r>
      <w:r>
        <w:t xml:space="preserve"> </w:t>
      </w:r>
      <w:r>
        <w:t xml:space="preserve">· Companion to</w:t>
      </w:r>
      <w:r>
        <w:t xml:space="preserve"> </w:t>
      </w:r>
      <w:r>
        <w:rPr>
          <w:rStyle w:val="VerbatimChar"/>
        </w:rPr>
        <w:t xml:space="preserve">BTI-Voice-Session-Handoff 3.md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BTI-Voice-TODO.md</w:t>
      </w:r>
    </w:p>
    <w:p>
      <w:pPr>
        <w:pStyle w:val="BodyText"/>
      </w:pPr>
      <w:r>
        <w:rPr>
          <w:b/>
        </w:rPr>
        <w:t xml:space="preserve">Target market (decided):</w:t>
      </w:r>
      <w:r>
        <w:t xml:space="preserve"> </w:t>
      </w:r>
      <w:r>
        <w:t xml:space="preserve">BTI’s own MSP clients — SMBs already buying managed services from Business Technology Insight. Veterinarians possibly later via Talkingvet’s channel.</w:t>
      </w:r>
      <w:r>
        <w:t xml:space="preserve"> </w:t>
      </w:r>
      <w:r>
        <w:rPr>
          <w:b/>
        </w:rPr>
        <w:t xml:space="preserve">Scale (decided):</w:t>
      </w:r>
      <w:r>
        <w:t xml:space="preserve"> </w:t>
      </w:r>
      <w:r>
        <w:t xml:space="preserve">1–5 pilot customers in the first 6–12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bd13cee59e7ac94fde9abdea6e3a8b63c3cace"/>
      <w:r>
        <w:t xml:space="preserve">1. The core architectural decision: single-tenant per customer. Do NOT build multi-tenancy.</w:t>
      </w:r>
      <w:bookmarkEnd w:id="21"/>
    </w:p>
    <w:p>
      <w:pPr>
        <w:pStyle w:val="FirstParagraph"/>
      </w:pPr>
      <w:r>
        <w:t xml:space="preserve">A full codebase audit (2026-08-18) confirmed: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Zero tenant awareness anywhere.</w:t>
      </w:r>
      <w:r>
        <w:t xml:space="preserve"> </w:t>
      </w:r>
      <w:r>
        <w:t xml:space="preserve">16 tables, no org/tenant column on any.</w:t>
      </w:r>
      <w:r>
        <w:t xml:space="preserve"> </w:t>
      </w:r>
      <w:r>
        <w:rPr>
          <w:rStyle w:val="VerbatimChar"/>
        </w:rPr>
        <w:t xml:space="preserve">ivr_settings</w:t>
      </w:r>
      <w:r>
        <w:t xml:space="preserve"> </w:t>
      </w:r>
      <w:r>
        <w:t xml:space="preserve">is physically constrained to one row (</w:t>
      </w:r>
      <w:r>
        <w:rPr>
          <w:rStyle w:val="VerbatimChar"/>
        </w:rPr>
        <w:t xml:space="preserve">CHECK (id = 1)</w:t>
      </w:r>
      <w:r>
        <w:t xml:space="preserve">).</w:t>
      </w:r>
      <w:r>
        <w:t xml:space="preserve"> </w:t>
      </w:r>
      <w:r>
        <w:rPr>
          <w:rStyle w:val="VerbatimChar"/>
        </w:rPr>
        <w:t xml:space="preserve">contacts.phone_number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agents.username</w:t>
      </w:r>
      <w:r>
        <w:t xml:space="preserve"> </w:t>
      </w:r>
      <w:r>
        <w:t xml:space="preserve">are globally unique. JWT carries</w:t>
      </w:r>
      <w:r>
        <w:t xml:space="preserve"> </w:t>
      </w:r>
      <w:r>
        <w:rPr>
          <w:rStyle w:val="VerbatimChar"/>
        </w:rPr>
        <w:t xml:space="preserve">{id, username, name}</w:t>
      </w:r>
      <w:r>
        <w:t xml:space="preserve"> </w:t>
      </w:r>
      <w:r>
        <w:t xml:space="preserve">— no org claim. ~40 unscoped queries.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But it is cleanly single-tenant-per-process.</w:t>
      </w:r>
      <w:r>
        <w:t xml:space="preserve"> </w:t>
      </w:r>
      <w:r>
        <w:t xml:space="preserve">Everything company-specific is an env var (23 of them) or DB data. No shared state between deployments.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True multi-tenancy = multi-week rewrite touching every route.</w:t>
      </w:r>
      <w:r>
        <w:t xml:space="preserve"> </w:t>
      </w:r>
      <w:r>
        <w:t xml:space="preserve">Not justified below ~5–10 customers.</w:t>
      </w:r>
    </w:p>
    <w:p>
      <w:pPr>
        <w:pStyle w:val="FirstParagraph"/>
      </w:pPr>
      <w:r>
        <w:rPr>
          <w:b/>
        </w:rPr>
        <w:t xml:space="preserve">Decision: one Railway project + one Postgres + one Twilio subaccount per customer.</w:t>
      </w:r>
      <w:r>
        <w:t xml:space="preserve"> </w:t>
      </w:r>
      <w:r>
        <w:t xml:space="preserve">The code already supports this once the blockers below are fixed. Revisit multi-tenancy only if customer count passes ~5 and ops burden (N deploys, N backups, N build pipelines) actually hurts.</w:t>
      </w:r>
    </w:p>
    <w:p>
      <w:pPr>
        <w:pStyle w:val="Heading3"/>
      </w:pPr>
      <w:bookmarkStart w:id="22" w:name="X7ef5951cc54219bf01296a27065f5d8eeef274b"/>
      <w:r>
        <w:t xml:space="preserve">Hard blockers before ANY customer deploy (all trivial, ~1–2 days total)</w:t>
      </w:r>
      <w:bookmarkEnd w:id="22"/>
    </w:p>
    <w:tbl>
      <w:tblPr>
        <w:tblStyle w:val="Table"/>
        <w:tblW w:type="pct" w:w="5000.0"/>
        <w:tblLook w:firstRow="1"/>
      </w:tblPr>
      <w:tblGrid>
        <w:gridCol w:w="1397"/>
        <w:gridCol w:w="4192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seed.js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runs on every boot and creates 5 named BTI employees</w:t>
            </w:r>
            <w:r>
              <w:t xml:space="preserve"> </w:t>
            </w:r>
            <w:r>
              <w:t xml:space="preserve">with passwords like</w:t>
            </w:r>
            <w:r>
              <w:t xml:space="preserve"> </w:t>
            </w:r>
            <w:r>
              <w:rPr>
                <w:rStyle w:val="VerbatimChar"/>
              </w:rPr>
              <w:t xml:space="preserve">danny123</w:t>
            </w:r>
            <w:r>
              <w:t xml:space="preserve">, plus fake vet demo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Gate behind env flag (e.g. </w:t>
            </w:r>
            <w:r>
              <w:rPr>
                <w:rStyle w:val="VerbatimChar"/>
              </w:rPr>
              <w:t xml:space="preserve">SEED_DEMO=true</w:t>
            </w:r>
            <w:r>
              <w:t xml:space="preserve"> </w:t>
            </w:r>
            <w:r>
              <w:t xml:space="preserve">only on BTI’s instance); add a first-admin bootstrap (env</w:t>
            </w:r>
            <w:r>
              <w:t xml:space="preserve"> </w:t>
            </w:r>
            <w:r>
              <w:rPr>
                <w:rStyle w:val="VerbatimChar"/>
              </w:rPr>
              <w:t xml:space="preserve">ADMIN_USERNAME</w:t>
            </w:r>
            <w:r>
              <w:t xml:space="preserve">/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or setup wizard)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Talkingvet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baked into customer-facing strings</w:t>
            </w:r>
            <w:r>
              <w:t xml:space="preserve">: after-hours SMS default (</w:t>
            </w:r>
            <w:r>
              <w:rPr>
                <w:rStyle w:val="VerbatimChar"/>
              </w:rPr>
              <w:t xml:space="preserve">db.js:139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sms.js:68</w:t>
            </w:r>
            <w:r>
              <w:t xml:space="preserve">) and the GPT call-summary prompt (</w:t>
            </w:r>
            <w:r>
              <w:rPr>
                <w:rStyle w:val="VerbatimChar"/>
              </w:rPr>
              <w:t xml:space="preserve">voice.js:734-737</w:t>
            </w:r>
            <w:r>
              <w:t xml:space="preserve"> </w:t>
            </w:r>
            <w:r>
              <w:t xml:space="preserve">— names Talkingvet, vets, and three employees)</w:t>
            </w:r>
          </w:p>
        </w:tc>
        <w:tc>
          <w:p>
            <w:pPr>
              <w:pStyle w:val="Compact"/>
              <w:jc w:val="left"/>
            </w:pPr>
            <w:r>
              <w:t xml:space="preserve">Move both to config:</w:t>
            </w:r>
            <w:r>
              <w:t xml:space="preserve"> </w:t>
            </w:r>
            <w:r>
              <w:rPr>
                <w:rStyle w:val="VerbatimChar"/>
              </w:rPr>
              <w:t xml:space="preserve">ivr_settings</w:t>
            </w:r>
            <w:r>
              <w:t xml:space="preserve"> </w:t>
            </w:r>
            <w:r>
              <w:t xml:space="preserve">column / env</w:t>
            </w:r>
            <w:r>
              <w:t xml:space="preserve"> </w:t>
            </w:r>
            <w:r>
              <w:rPr>
                <w:rStyle w:val="VerbatimChar"/>
              </w:rPr>
              <w:t xml:space="preserve">COMPANY_NAME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AI_SUMMARY_CONTEXT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ADMIN_KEY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fallback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'bti-admin-2026'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hardcoded in repo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/admin/activity</w:t>
            </w:r>
            <w:r>
              <w:t xml:space="preserve"> </w:t>
            </w:r>
            <w:r>
              <w:t xml:space="preserve">route has no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</w:p>
        </w:tc>
        <w:tc>
          <w:p>
            <w:pPr>
              <w:pStyle w:val="Compact"/>
              <w:jc w:val="left"/>
            </w:pPr>
            <w:r>
              <w:t xml:space="preserve">Remove fallback; require env or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JWT_SECRET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random-per-boot if unset</w:t>
            </w:r>
            <w:r>
              <w:t xml:space="preserve"> </w:t>
            </w:r>
            <w:r>
              <w:t xml:space="preserve">— forget it on a new deploy → everyone logged out every redeploy</w:t>
            </w:r>
          </w:p>
        </w:tc>
        <w:tc>
          <w:p>
            <w:pPr>
              <w:pStyle w:val="Compact"/>
              <w:jc w:val="left"/>
            </w:pPr>
            <w:r>
              <w:t xml:space="preserve">Add boot-time check that refuses to start in production without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Twilio webhook validation soft by default</w:t>
            </w:r>
          </w:p>
        </w:tc>
        <w:tc>
          <w:p>
            <w:pPr>
              <w:pStyle w:val="Compact"/>
              <w:jc w:val="left"/>
            </w:pPr>
            <w:r>
              <w:t xml:space="preserve">Flip default to strict for customer deploys (</w:t>
            </w:r>
            <w:r>
              <w:rPr>
                <w:rStyle w:val="VerbatimChar"/>
              </w:rPr>
              <w:t xml:space="preserve">TWILIO_STRICT_WEBHOOKS=true</w:t>
            </w:r>
            <w:r>
              <w:t xml:space="preserve"> </w:t>
            </w:r>
            <w:r>
              <w:t xml:space="preserve">in the deploy template)</w:t>
            </w:r>
          </w:p>
        </w:tc>
      </w:tr>
    </w:tbl>
    <w:p>
      <w:pPr>
        <w:pStyle w:val="Heading3"/>
      </w:pPr>
      <w:bookmarkStart w:id="23" w:name="X73c2d854d960bf81e83b266af46a1a5115f2fa7"/>
      <w:r>
        <w:t xml:space="preserve">Branding / white-label (moderate, mostly one-time)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Env-driven branding: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, logo URL, window title. ~10 client files hardcode</w:t>
      </w:r>
      <w:r>
        <w:t xml:space="preserve"> </w:t>
      </w:r>
      <w:r>
        <w:t xml:space="preserve">“</w:t>
      </w:r>
      <w:r>
        <w:t xml:space="preserve">BTI Voice</w:t>
      </w:r>
      <w:r>
        <w:t xml:space="preserve">”</w:t>
      </w:r>
      <w:r>
        <w:t xml:space="preserve"> </w:t>
      </w:r>
      <w:r>
        <w:t xml:space="preserve">(Login.jsx, TitleBar.jsx, App.jsx splash, SettingsTab, index.html title).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Decision needed: product name.</w:t>
      </w:r>
      <w:r>
        <w:t xml:space="preserve"> </w:t>
      </w:r>
      <w:r>
        <w:t xml:space="preserve">“</w:t>
      </w:r>
      <w:r>
        <w:t xml:space="preserve">BTI Voice</w:t>
      </w:r>
      <w:r>
        <w:t xml:space="preserve">”</w:t>
      </w:r>
      <w:r>
        <w:t xml:space="preserve"> </w:t>
      </w:r>
      <w:r>
        <w:t xml:space="preserve">works fine if selling under the BTI brand to BTI’s own MSP clients (recommended — it’s the MSP’s brand promise anyway). White-labeling per customer is possible later but each name change means new Electron appId/installer.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Desktop app is the expensive part of white-label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electron/main.js</w:t>
      </w:r>
      <w:r>
        <w:t xml:space="preserve"> </w:t>
      </w:r>
      <w:r>
        <w:t xml:space="preserve">hardcodes the Railway URL;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baked at build time; updater pulls from</w:t>
      </w:r>
      <w:r>
        <w:t xml:space="preserve"> </w:t>
      </w:r>
      <w:r>
        <w:rPr>
          <w:rStyle w:val="VerbatimChar"/>
        </w:rPr>
        <w:t xml:space="preserve">Talkingvet/bti-voice</w:t>
      </w:r>
      <w:r>
        <w:t xml:space="preserve"> </w:t>
      </w:r>
      <w:r>
        <w:t xml:space="preserve">GitHub. Every customer instance needs its own built installer, signing run, and release channel.</w:t>
      </w:r>
      <w:r>
        <w:t xml:space="preserve"> </w:t>
      </w:r>
      <w:r>
        <w:rPr>
          <w:b/>
        </w:rPr>
        <w:t xml:space="preserve">Recommendation: pilot customers use the browser app</w:t>
      </w:r>
      <w:r>
        <w:t xml:space="preserve"> </w:t>
      </w:r>
      <w:r>
        <w:t xml:space="preserve">(works fully in any browser today). Only build per-customer installers if a pilot demands desktop. This removes the single largest recurring cost.</w:t>
      </w:r>
    </w:p>
    <w:p>
      <w:pPr>
        <w:pStyle w:val="Heading3"/>
      </w:pPr>
      <w:bookmarkStart w:id="24" w:name="X0c5dc1568097ad0e7a4365e3c978513dd52b05d"/>
      <w:r>
        <w:t xml:space="preserve">Zoho CRM integration = optional add-on, not core product (per Danny 2026-08-18)</w:t>
      </w:r>
      <w:bookmarkEnd w:id="24"/>
    </w:p>
    <w:p>
      <w:pPr>
        <w:pStyle w:val="FirstParagraph"/>
      </w:pPr>
      <w:r>
        <w:t xml:space="preserve">The Zoho integration talks to</w:t>
      </w:r>
      <w:r>
        <w:t xml:space="preserve"> </w:t>
      </w:r>
      <w:r>
        <w:rPr>
          <w:b/>
        </w:rPr>
        <w:t xml:space="preserve">BTI’s</w:t>
      </w:r>
      <w:r>
        <w:t xml:space="preserve"> </w:t>
      </w:r>
      <w:r>
        <w:t xml:space="preserve">Zoho org. External customers won’t have it unless they also run Zoho CRM. The audit confirms Zoho degrades gracefully — every integration point guards on</w:t>
      </w:r>
      <w:r>
        <w:t xml:space="preserve"> </w:t>
      </w:r>
      <w:r>
        <w:rPr>
          <w:rStyle w:val="VerbatimChar"/>
        </w:rPr>
        <w:t xml:space="preserve">ZOHO_REFRESH_TOKEN</w:t>
      </w:r>
      <w:r>
        <w:t xml:space="preserve">; the app is fully functional without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Default customer deploy: no Zoho env vars.</w:t>
      </w:r>
      <w:r>
        <w:t xml:space="preserve"> </w:t>
      </w:r>
      <w:r>
        <w:t xml:space="preserve">Standalone VOIP/SMS app.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If a customer uses Zoho CRM:</w:t>
      </w:r>
      <w:r>
        <w:t xml:space="preserve"> </w:t>
      </w:r>
      <w:r>
        <w:t xml:space="preserve">connect</w:t>
      </w:r>
      <w:r>
        <w:t xml:space="preserve"> </w:t>
      </w:r>
      <w:r>
        <w:rPr>
          <w:i/>
        </w:rPr>
        <w:t xml:space="preserve">their</w:t>
      </w:r>
      <w:r>
        <w:t xml:space="preserve"> </w:t>
      </w:r>
      <w:r>
        <w:t xml:space="preserve">org — requires their own OAuth client + refresh token, creating the</w:t>
      </w:r>
      <w:r>
        <w:t xml:space="preserve"> </w:t>
      </w:r>
      <w:r>
        <w:rPr>
          <w:rStyle w:val="VerbatimChar"/>
        </w:rPr>
        <w:t xml:space="preserve">BTI_Voice</w:t>
      </w:r>
      <w:r>
        <w:t xml:space="preserve"> </w:t>
      </w:r>
      <w:r>
        <w:t xml:space="preserve">custom module (+ unique</w:t>
      </w:r>
      <w:r>
        <w:t xml:space="preserve"> </w:t>
      </w:r>
      <w:r>
        <w:rPr>
          <w:rStyle w:val="VerbatimChar"/>
        </w:rPr>
        <w:t xml:space="preserve">BTI_Ref</w:t>
      </w:r>
      <w:r>
        <w:t xml:space="preserve"> </w:t>
      </w:r>
      <w:r>
        <w:t xml:space="preserve">field — remember the upsert lesson) in their org, and registering the SMS widget in their Developer Hub. Budget ~half a day per Zoho customer; price it as a setup fee.</w:t>
      </w:r>
    </w:p>
    <w:p>
      <w:pPr>
        <w:numPr>
          <w:ilvl w:val="0"/>
          <w:numId w:val="1003"/>
        </w:numPr>
        <w:pStyle w:val="Compact"/>
      </w:pPr>
      <w:r>
        <w:t xml:space="preserve">Future: same integration pattern could target other CRMs, but not for pilots.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870fd923554d3493529ca7c0313dca6b691f390"/>
      <w:r>
        <w:t xml:space="preserve">2. Twilio &amp; A2P 10DLC per customer (researched 2026-08-18, Twilio docs cited in session)</w:t>
      </w:r>
      <w:bookmarkEnd w:id="25"/>
    </w:p>
    <w:p>
      <w:pPr>
        <w:pStyle w:val="FirstParagraph"/>
      </w:pPr>
      <w:r>
        <w:rPr>
          <w:b/>
        </w:rPr>
        <w:t xml:space="preserve">Structure: Twilio subaccount per customer under BTI’s account</w:t>
      </w:r>
      <w:r>
        <w:t xml:space="preserve"> </w:t>
      </w:r>
      <w:r>
        <w:t xml:space="preserve">(Twilio’s recommended</w:t>
      </w:r>
      <w:r>
        <w:t xml:space="preserve"> </w:t>
      </w:r>
      <w:r>
        <w:t xml:space="preserve">“</w:t>
      </w:r>
      <w:r>
        <w:t xml:space="preserve">ISV architecture #1</w:t>
      </w:r>
      <w:r>
        <w:t xml:space="preserve">”</w:t>
      </w:r>
      <w:r>
        <w:t xml:space="preserve">). Subaccounts are free, bill to the parent, have their own numbers/Messaging Service/credentials, 1,000 allowed by default. BTI is unambiguously an</w:t>
      </w:r>
      <w:r>
        <w:t xml:space="preserve"> </w:t>
      </w:r>
      <w:r>
        <w:rPr>
          <w:b/>
        </w:rPr>
        <w:t xml:space="preserve">ISV</w:t>
      </w:r>
      <w:r>
        <w:t xml:space="preserve"> </w:t>
      </w:r>
      <w:r>
        <w:t xml:space="preserve">under Twilio’s test (customers compose their own messages).</w:t>
      </w:r>
    </w:p>
    <w:p>
      <w:pPr>
        <w:pStyle w:val="BodyText"/>
      </w:pPr>
      <w:r>
        <w:rPr>
          <w:b/>
        </w:rPr>
        <w:t xml:space="preserve">One-time BTI setup (do once, before first customer):</w:t>
      </w:r>
    </w:p>
    <w:p>
      <w:pPr>
        <w:numPr>
          <w:ilvl w:val="0"/>
          <w:numId w:val="1004"/>
        </w:numPr>
        <w:pStyle w:val="Compact"/>
      </w:pPr>
      <w:r>
        <w:t xml:space="preserve">Re-register BTI’s Primary Customer Profile in Trust Hub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ISV Reseller or Partner</w:t>
      </w:r>
      <w:r>
        <w:rPr>
          <w:b/>
        </w:rPr>
        <w:t xml:space="preserve">”</w:t>
      </w:r>
      <w:r>
        <w:t xml:space="preserve"> </w:t>
      </w:r>
      <w:r>
        <w:t xml:space="preserve">(Console only, ~24h approval). ⚠️ Check whether the existing approved profile can be edited or must be redone — current brand/campaign hang off it.</w:t>
      </w:r>
    </w:p>
    <w:p>
      <w:pPr>
        <w:numPr>
          <w:ilvl w:val="0"/>
          <w:numId w:val="1004"/>
        </w:numPr>
        <w:pStyle w:val="Compact"/>
      </w:pPr>
      <w:r>
        <w:t xml:space="preserve">SHAKEN/STIR Trust Product on the parent (72h) → all calls get B attestation.</w:t>
      </w:r>
    </w:p>
    <w:p>
      <w:pPr>
        <w:numPr>
          <w:ilvl w:val="0"/>
          <w:numId w:val="1004"/>
        </w:numPr>
        <w:pStyle w:val="Compact"/>
      </w:pPr>
      <w:r>
        <w:t xml:space="preserve">Request access to Twilio’s</w:t>
      </w:r>
      <w:r>
        <w:t xml:space="preserve"> </w:t>
      </w:r>
      <w:r>
        <w:rPr>
          <w:b/>
        </w:rPr>
        <w:t xml:space="preserve">Compliance Embeddable</w:t>
      </w:r>
      <w:r>
        <w:t xml:space="preserve"> </w:t>
      </w:r>
      <w:r>
        <w:t xml:space="preserve">(private beta since June 2026) — white-label widget that lets customers self-complete brand/campaign registration.</w:t>
      </w:r>
    </w:p>
    <w:p>
      <w:pPr>
        <w:pStyle w:val="FirstParagraph"/>
      </w:pPr>
      <w:r>
        <w:rPr>
          <w:b/>
        </w:rPr>
        <w:t xml:space="preserve">Per customer (each needs its OWN brand + campaign — no sharing, registered under the CUSTOMER’s EIN and legal identity):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 customer data: EIN (exact CP 575 legal name), address, authorized rep w/ company-domain email, live website</w:t>
            </w:r>
          </w:p>
        </w:tc>
        <w:tc>
          <w:p>
            <w:pPr>
              <w:pStyle w:val="Compact"/>
              <w:jc w:val="left"/>
            </w:pPr>
            <w:r>
              <w:t xml:space="preserve">3–10 biz days (the real bottleneck)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 their website: public privacy policy (</w:t>
            </w:r>
            <w:r>
              <w:t xml:space="preserve">“</w:t>
            </w:r>
            <w:r>
              <w:t xml:space="preserve">mobile numbers not shared with third parties</w:t>
            </w:r>
            <w:r>
              <w:t xml:space="preserve">”</w:t>
            </w:r>
            <w:r>
              <w:t xml:space="preserve">, frequency, rates), T&amp;C on same domain, compliant opt-in form.</w:t>
            </w:r>
            <w:r>
              <w:t xml:space="preserve"> </w:t>
            </w:r>
            <w:r>
              <w:rPr>
                <w:b/>
              </w:rPr>
              <w:t xml:space="preserve">Build to the Sept 15, 2026 unified-policy standard</w:t>
            </w:r>
          </w:p>
        </w:tc>
        <w:tc>
          <w:p>
            <w:pPr>
              <w:pStyle w:val="Compact"/>
              <w:jc w:val="left"/>
            </w:pPr>
            <w:r>
              <w:t xml:space="preserve">2–10 biz days</w:t>
            </w:r>
          </w:p>
        </w:tc>
        <w:tc>
          <w:p>
            <w:pPr>
              <w:pStyle w:val="Compact"/>
              <w:jc w:val="left"/>
            </w:pPr>
            <w:r>
              <w:t xml:space="preserve">BTI labor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subaccount, buy number(s)</w:t>
            </w:r>
          </w:p>
        </w:tc>
        <w:tc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p>
            <w:pPr>
              <w:pStyle w:val="Compact"/>
              <w:jc w:val="left"/>
            </w:pPr>
            <w:r>
              <w:t xml:space="preserve">$1.15/mo per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Customer Profile + TrustProduct + Brand (</w:t>
            </w:r>
            <w:r>
              <w:rPr>
                <w:b/>
              </w:rPr>
              <w:t xml:space="preserve">Low-Volume 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skip_automatic_sec_vet</w:t>
            </w:r>
            <w:r>
              <w:t xml:space="preserve"> </w:t>
            </w:r>
            <w:r>
              <w:t xml:space="preserve">— right for nearly every SMB; note US LLCs are NEVER eligible for Sole Prop)</w:t>
            </w:r>
          </w:p>
        </w:tc>
        <w:tc>
          <w:p>
            <w:pPr>
              <w:pStyle w:val="Compact"/>
              <w:jc w:val="left"/>
            </w:pPr>
            <w:r>
              <w:t xml:space="preserve">~1 day</w:t>
            </w:r>
          </w:p>
        </w:tc>
        <w:tc>
          <w:p>
            <w:pPr>
              <w:pStyle w:val="Compact"/>
              <w:jc w:val="left"/>
            </w:pPr>
            <w:r>
              <w:t xml:space="preserve">$4.50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 (Low-Volume Mixed; PrivacyPolicyUrl + TermsUrl now REQUIRED since 6/30/26)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10–15 days manual vetting</w:t>
            </w:r>
          </w:p>
        </w:tc>
        <w:tc>
          <w:p>
            <w:pPr>
              <w:pStyle w:val="Compact"/>
              <w:jc w:val="left"/>
            </w:pPr>
            <w:r>
              <w:t xml:space="preserve">$15 one-time (non-refundable) + $1.50/mo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E911 address per number (MSAG-validated; test with 933)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t xml:space="preserve">$0.75/mo/number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SHAKEN/STIR secondary profile → A attestation (parallel with campaign vetting)</w:t>
            </w:r>
          </w:p>
        </w:tc>
        <w:tc>
          <w:p>
            <w:pPr>
              <w:pStyle w:val="Compact"/>
              <w:jc w:val="left"/>
            </w:pPr>
            <w:r>
              <w:t xml:space="preserve">24h + 72h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Realistic onboarding calendar: ~2.5 weeks best case, 4–6 weeks typical.</w:t>
      </w:r>
      <w:r>
        <w:t xml:space="preserve"> </w:t>
      </w:r>
      <w:r>
        <w:t xml:space="preserve">Voice can go live in ~3 days while SMS vetting runs —</w:t>
      </w:r>
      <w:r>
        <w:t xml:space="preserve"> </w:t>
      </w:r>
      <w:r>
        <w:rPr>
          <w:b/>
        </w:rPr>
        <w:t xml:space="preserve">sell voice-first activation.</w:t>
      </w:r>
    </w:p>
    <w:p>
      <w:pPr>
        <w:pStyle w:val="BodyText"/>
      </w:pPr>
      <w:r>
        <w:rPr>
          <w:b/>
        </w:rPr>
        <w:t xml:space="preserve">Limits that matter:</w:t>
      </w:r>
      <w:r>
        <w:t xml:space="preserve"> </w:t>
      </w:r>
      <w:r>
        <w:t xml:space="preserve">Low-Volume Standard = 2,000 segments/day to T-Mobile (~6,000/day total), 3.75 MPS on Low-Volume Mixed — plenty for an SMB. T-Mobile caps are per-EIN across ALL providers. Max 5 brands per EIN; an email/street address may appear in max 10 TCR registrations ecosystem-wide.</w:t>
      </w:r>
    </w:p>
    <w:p>
      <w:pPr>
        <w:pStyle w:val="BodyText"/>
      </w:pPr>
      <w:r>
        <w:rPr>
          <w:b/>
        </w:rPr>
        <w:t xml:space="preserve">Compliance obligations BTI carries as reseller:</w:t>
      </w:r>
    </w:p>
    <w:p>
      <w:pPr>
        <w:numPr>
          <w:ilvl w:val="0"/>
          <w:numId w:val="1005"/>
        </w:numPr>
        <w:pStyle w:val="Compact"/>
      </w:pPr>
      <w:r>
        <w:t xml:space="preserve">Twilio’s STOP handling is</w:t>
      </w:r>
      <w:r>
        <w:t xml:space="preserve"> </w:t>
      </w:r>
      <w:r>
        <w:rPr>
          <w:b/>
        </w:rPr>
        <w:t xml:space="preserve">per-number</w:t>
      </w:r>
      <w:r>
        <w:t xml:space="preserve"> </w:t>
      </w:r>
      <w:r>
        <w:t xml:space="preserve">— the app’s own</w:t>
      </w:r>
      <w:r>
        <w:t xml:space="preserve"> </w:t>
      </w:r>
      <w:r>
        <w:rPr>
          <w:rStyle w:val="VerbatimChar"/>
        </w:rPr>
        <w:t xml:space="preserve">contacts.opted_out</w:t>
      </w:r>
      <w:r>
        <w:t xml:space="preserve"> </w:t>
      </w:r>
      <w:r>
        <w:t xml:space="preserve">(already built ✓) is the real suppression list; keep it authoritative across all of a customer’s numbers.</w:t>
      </w:r>
    </w:p>
    <w:p>
      <w:pPr>
        <w:numPr>
          <w:ilvl w:val="0"/>
          <w:numId w:val="1005"/>
        </w:numPr>
        <w:pStyle w:val="Compact"/>
      </w:pPr>
      <w:r>
        <w:t xml:space="preserve">Store consent records (timestamp, method, disclosure text) per contact —</w:t>
      </w:r>
      <w:r>
        <w:t xml:space="preserve"> </w:t>
      </w:r>
      <w:r>
        <w:rPr>
          <w:b/>
        </w:rPr>
        <w:t xml:space="preserve">not built yet; needed before external SMS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HELP reply must contain the customer’s brand name (Advanced Opt-Out config per Messaging Service).</w:t>
      </w:r>
    </w:p>
    <w:p>
      <w:pPr>
        <w:numPr>
          <w:ilvl w:val="0"/>
          <w:numId w:val="1005"/>
        </w:numPr>
        <w:pStyle w:val="Compact"/>
      </w:pPr>
      <w:r>
        <w:t xml:space="preserve">FCC revocation rules (2025–26): honor any reasonable opt-out means within 10 business days; cross-subject revocation in force since 4/11/26.</w:t>
      </w:r>
    </w:p>
    <w:p>
      <w:pPr>
        <w:numPr>
          <w:ilvl w:val="0"/>
          <w:numId w:val="1005"/>
        </w:numPr>
        <w:pStyle w:val="Compact"/>
      </w:pPr>
      <w:r>
        <w:t xml:space="preserve">Delete campaigns when a customer churns or the $1.50/mo runs forever.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Telecom taxes/USF</w:t>
      </w:r>
      <w:r>
        <w:t xml:space="preserve">: if BTI bills for voice service it may inherit remittance obligations —</w:t>
      </w:r>
      <w:r>
        <w:t xml:space="preserve"> </w:t>
      </w:r>
      <w:r>
        <w:rPr>
          <w:b/>
        </w:rPr>
        <w:t xml:space="preserve">ask BTI’s accountant before first invoice</w:t>
      </w:r>
      <w:r>
        <w:t xml:space="preserve">; this is the cited margin-killer in white-label VoIP.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368348d4ee74c811ce0a246602c134da6a03b3"/>
      <w:r>
        <w:t xml:space="preserve">3. Pricing (researched 2026-08-18; competitor prices from 2026 sources, verify before publishing)</w:t>
      </w:r>
      <w:bookmarkEnd w:id="26"/>
    </w:p>
    <w:p>
      <w:pPr>
        <w:pStyle w:val="FirstParagraph"/>
      </w:pPr>
      <w:r>
        <w:rPr>
          <w:b/>
        </w:rPr>
        <w:t xml:space="preserve">Competitive band for the same feature set</w:t>
      </w:r>
      <w:r>
        <w:t xml:space="preserve"> </w:t>
      </w:r>
      <w:r>
        <w:t xml:space="preserve">(shared SMS inbox + calling + IVR + AI transcription/summaries + CRM logging):</w:t>
      </w:r>
      <w:r>
        <w:t xml:space="preserve"> </w:t>
      </w:r>
      <w:r>
        <w:rPr>
          <w:b/>
        </w:rPr>
        <w:t xml:space="preserve">$23–$50/user/mo</w:t>
      </w:r>
      <w:r>
        <w:t xml:space="preserve"> </w:t>
      </w:r>
      <w:r>
        <w:t xml:space="preserve">— Quo Business $23 (annual), Dialpad Pro $25 (3-seat min), RingCentral Advanced $35 monthly (+$60/user for Conversation Intelligence!), JustCall Pro $49, Aircall Pro $50 (3-seat min). RingCentral meters SMS (25–200/user/mo — useless for a team inbox); several meter or gate AI.</w:t>
      </w:r>
    </w:p>
    <w:p>
      <w:pPr>
        <w:pStyle w:val="BodyText"/>
      </w:pPr>
      <w:r>
        <w:rPr>
          <w:b/>
        </w:rPr>
        <w:t xml:space="preserve">BTI’s COGS for a typical 10-user client</w:t>
      </w:r>
      <w:r>
        <w:t xml:space="preserve"> </w:t>
      </w:r>
      <w:r>
        <w:t xml:space="preserve">(3,000 SMS segments, 4,000 call min/mo): ≈ $111/mo (~$11/user) in Twilio + share of one Railway project (~$5–20/mo) + OpenAI (cents) + ~$3/mo compliance fees.</w:t>
      </w:r>
    </w:p>
    <w:p>
      <w:pPr>
        <w:pStyle w:val="BodyText"/>
      </w:pPr>
      <w:r>
        <w:rPr>
          <w:b/>
        </w:rPr>
        <w:t xml:space="preserve">Recommendation: $35/user/month, monthly, no seat minimum, AI included, unlimited-with-fair-use SMS/voice.</w:t>
      </w:r>
    </w:p>
    <w:p>
      <w:pPr>
        <w:numPr>
          <w:ilvl w:val="0"/>
          <w:numId w:val="1006"/>
        </w:numPr>
        <w:pStyle w:val="Compact"/>
      </w:pPr>
      <w:r>
        <w:t xml:space="preserve">~65–70% gross margin — top of the white-label VoIP band (agent/reseller programs pay 30–50%).</w:t>
      </w:r>
    </w:p>
    <w:p>
      <w:pPr>
        <w:numPr>
          <w:ilvl w:val="0"/>
          <w:numId w:val="1006"/>
        </w:numPr>
        <w:pStyle w:val="Compact"/>
      </w:pPr>
      <w:r>
        <w:t xml:space="preserve">13–27% of a typical $150–200/user/mo managed-services bill — a normal MSP add-on ratio.</w:t>
      </w:r>
    </w:p>
    <w:p>
      <w:pPr>
        <w:numPr>
          <w:ilvl w:val="0"/>
          <w:numId w:val="1006"/>
        </w:numPr>
        <w:pStyle w:val="Compact"/>
      </w:pPr>
      <w:r>
        <w:t xml:space="preserve">Cheaper than the equivalent name-brand config, with AI that RingCentral charges +$60/user for.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One-time onboarding fee: $250–$500</w:t>
      </w:r>
      <w:r>
        <w:t xml:space="preserve"> </w:t>
      </w:r>
      <w:r>
        <w:t xml:space="preserve">to cover A2P registration labor, website compliance fixes, E911 setup. (Pure pass-through fees are only ~$20; the labor is the cost.)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Zoho CRM integration add-on: one-time setup fee</w:t>
      </w:r>
      <w:r>
        <w:t xml:space="preserve"> </w:t>
      </w:r>
      <w:r>
        <w:t xml:space="preserve">(~half day labor) for customers on Zoho.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Fair-use policy + per-account usage monitoring from day one</w:t>
      </w:r>
      <w:r>
        <w:t xml:space="preserve"> </w:t>
      </w:r>
      <w:r>
        <w:t xml:space="preserve">— one heavy-dialer client can invert the margin. Add a usage report/alert before first customer.</w:t>
      </w:r>
    </w:p>
    <w:p>
      <w:pPr>
        <w:numPr>
          <w:ilvl w:val="0"/>
          <w:numId w:val="1006"/>
        </w:numPr>
        <w:pStyle w:val="Compact"/>
      </w:pPr>
      <w:r>
        <w:t xml:space="preserve">Billing for 1–5 pilots: invoice through whatever BTI already bills MSP clients with (likely Zoho Books — connected here). No billing automation needed yet.</w:t>
      </w:r>
    </w:p>
    <w:p>
      <w:pPr>
        <w:pStyle w:val="FirstParagraph"/>
      </w:pPr>
      <w:r>
        <w:rPr>
          <w:b/>
        </w:rPr>
        <w:t xml:space="preserve">Honest gaps vs incumbents</w:t>
      </w:r>
      <w:r>
        <w:t xml:space="preserve"> </w:t>
      </w:r>
      <w:r>
        <w:t xml:space="preserve">(know before pitching): no desk-phone/SIP support, no 99.999% SLA (single Railway region), no SOC 2/HIPAA posture (avoid healthcare/legal clients initially), no call queues/barge/whisper/power dialer. And BTI becomes the telecom support desk: porting, carrier filtering, spam-label remediation.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41984b981eeb1008d38653b59f80d666232553f"/>
      <w:r>
        <w:t xml:space="preserve">4. Security hardening — re-scoped for single-tenant</w:t>
      </w:r>
      <w:bookmarkEnd w:id="27"/>
    </w:p>
    <w:p>
      <w:pPr>
        <w:pStyle w:val="FirstParagraph"/>
      </w:pPr>
      <w:r>
        <w:t xml:space="preserve">The deferred audit items, reassessed now that each customer is an isolated deploy:</w:t>
      </w:r>
    </w:p>
    <w:tbl>
      <w:tblPr>
        <w:tblStyle w:val="Table"/>
        <w:tblW w:type="pct" w:w="5000.0"/>
        <w:tblLook w:firstRow="1"/>
      </w:tblPr>
      <w:tblGrid>
        <w:gridCol w:w="1485"/>
        <w:gridCol w:w="64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 for single-tenant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Send as another agent</w:t>
            </w:r>
            <w:r>
              <w:t xml:space="preserve">”</w:t>
            </w:r>
            <w:r>
              <w:t xml:space="preserve"> </w:t>
            </w:r>
            <w:r>
              <w:t xml:space="preserve">+ call-control-by-SID</w:t>
            </w:r>
          </w:p>
        </w:tc>
        <w:tc>
          <w:p>
            <w:pPr>
              <w:pStyle w:val="Compact"/>
              <w:jc w:val="left"/>
            </w:pPr>
            <w:r>
              <w:t xml:space="preserve">Stays intra-company per deploy — acceptable for pilot SMBs; document it. Lock down before any multi-tenant future.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Media/recording JWT-in-URL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Still fix before external customers</w:t>
            </w:r>
            <w:r>
              <w:t xml:space="preserve"> </w:t>
            </w:r>
            <w:r>
              <w:t xml:space="preserve">— recordings of THEIR customers’ calls. Short-lived per-resource tokens.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Updater endpoint auth / installer integrity</w:t>
            </w:r>
          </w:p>
        </w:tc>
        <w:tc>
          <w:p>
            <w:pPr>
              <w:pStyle w:val="Compact"/>
              <w:jc w:val="left"/>
            </w:pPr>
            <w:r>
              <w:t xml:space="preserve">Moot if pilots are browser-only (recommended). Revisit only if shipping installers.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ZOHO_WIDGET_KEY</w:t>
            </w:r>
            <w:r>
              <w:t xml:space="preserve"> </w:t>
            </w:r>
            <w:r>
              <w:t xml:space="preserve">shared-secret model</w:t>
            </w:r>
          </w:p>
        </w:tc>
        <w:tc>
          <w:p>
            <w:pPr>
              <w:pStyle w:val="Compact"/>
              <w:jc w:val="left"/>
            </w:pPr>
            <w:r>
              <w:t xml:space="preserve">Per-deploy key = per-customer key. Acceptable; rotate per customer.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Per-tenant data isolation</w:t>
            </w:r>
          </w:p>
        </w:tc>
        <w:tc>
          <w:p>
            <w:pPr>
              <w:pStyle w:val="Compact"/>
              <w:jc w:val="left"/>
            </w:pPr>
            <w:r>
              <w:t xml:space="preserve">Solved by architecture (separate DB per customer).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NEW: seed/ADMIN_KEY/JWT_SECRET/strict-webhooks</w:t>
            </w:r>
          </w:p>
        </w:tc>
        <w:tc>
          <w:p>
            <w:pPr>
              <w:pStyle w:val="Compact"/>
              <w:jc w:val="left"/>
            </w:pPr>
            <w:r>
              <w:t xml:space="preserve">The §1 blocker list.</w:t>
            </w:r>
          </w:p>
        </w:tc>
      </w:tr>
    </w:tbl>
    <w:p>
      <w:pPr>
        <w:pStyle w:val="BodyText"/>
      </w:pPr>
      <w:r>
        <w:t xml:space="preserve">Also required before external customers:</w:t>
      </w:r>
      <w:r>
        <w:t xml:space="preserve"> </w:t>
      </w:r>
      <w:r>
        <w:rPr>
          <w:b/>
        </w:rPr>
        <w:t xml:space="preserve">default passwords eliminated</w:t>
      </w:r>
      <w:r>
        <w:t xml:space="preserve"> </w:t>
      </w:r>
      <w:r>
        <w:t xml:space="preserve">(bootstrap flow, no</w:t>
      </w:r>
      <w:r>
        <w:t xml:space="preserve"> </w:t>
      </w:r>
      <w:r>
        <w:rPr>
          <w:rStyle w:val="VerbatimChar"/>
        </w:rPr>
        <w:t xml:space="preserve">username123</w:t>
      </w:r>
      <w:r>
        <w:t xml:space="preserve"> </w:t>
      </w:r>
      <w:r>
        <w:t xml:space="preserve">pattern), and the per-number inbound call routing item below.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oduct-work-required-beyond-hardening"/>
      <w:r>
        <w:t xml:space="preserve">5. Product work required (beyond hardening)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Per-number inbound call routing</w:t>
      </w:r>
      <w:r>
        <w:t xml:space="preserve"> </w:t>
      </w:r>
      <w:r>
        <w:t xml:space="preserve">— all numbers currently hit one global IVR (</w:t>
      </w:r>
      <w:r>
        <w:rPr>
          <w:rStyle w:val="VerbatimChar"/>
        </w:rPr>
        <w:t xml:space="preserve">ivr_settings CHECK (id=1)</w:t>
      </w:r>
      <w:r>
        <w:t xml:space="preserve">, webhook never reads</w:t>
      </w:r>
      <w:r>
        <w:t xml:space="preserve"> </w:t>
      </w:r>
      <w:r>
        <w:rPr>
          <w:rStyle w:val="VerbatimChar"/>
        </w:rPr>
        <w:t xml:space="preserve">req.body.To</w:t>
      </w:r>
      <w:r>
        <w:t xml:space="preserve">). Within one customer’s deploy this still matters (multiple numbers → different greetings/routing). Promote from backlog; design: key</w:t>
      </w:r>
      <w:r>
        <w:t xml:space="preserve"> </w:t>
      </w:r>
      <w:r>
        <w:rPr>
          <w:rStyle w:val="VerbatimChar"/>
        </w:rPr>
        <w:t xml:space="preserve">ivr_settings</w:t>
      </w:r>
      <w:r>
        <w:t xml:space="preserve">/</w:t>
      </w:r>
      <w:r>
        <w:rPr>
          <w:rStyle w:val="VerbatimChar"/>
        </w:rPr>
        <w:t xml:space="preserve">ivr_menus</w:t>
      </w:r>
      <w:r>
        <w:t xml:space="preserve"> </w:t>
      </w:r>
      <w:r>
        <w:t xml:space="preserve">by number or add a number→config mapping.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First-run bootstrap</w:t>
      </w:r>
      <w:r>
        <w:t xml:space="preserve"> </w:t>
      </w:r>
      <w:r>
        <w:t xml:space="preserve">— create admin account, company name, timezone, business hours on first boot instead of seeded users.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Consent-record storage</w:t>
      </w:r>
      <w:r>
        <w:t xml:space="preserve"> </w:t>
      </w:r>
      <w:r>
        <w:t xml:space="preserve">— per-contact opt-in evidence (timestamp, method, text shown). Small schema addition; required for A2P audits.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Usage monitoring/report</w:t>
      </w:r>
      <w:r>
        <w:t xml:space="preserve"> </w:t>
      </w:r>
      <w:r>
        <w:t xml:space="preserve">— per-deploy monthly minutes/segments summary for fair-use enforcement and margin tracking.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Deploy runbook + env template</w:t>
      </w:r>
      <w:r>
        <w:t xml:space="preserve"> </w:t>
      </w:r>
      <w:r>
        <w:t xml:space="preserve">— checklist of all 23 env vars with per-customer values; JWT_SECRET generation; strict webhooks on; Railway project naming convention.</w:t>
      </w:r>
    </w:p>
    <w:p>
      <w:pPr>
        <w:numPr>
          <w:ilvl w:val="0"/>
          <w:numId w:val="1007"/>
        </w:numPr>
        <w:pStyle w:val="Compact"/>
      </w:pPr>
      <w:r>
        <w:rPr>
          <w:i/>
        </w:rPr>
        <w:t xml:space="preserve">(Optional, per Zoho customer)</w:t>
      </w:r>
      <w:r>
        <w:t xml:space="preserve"> </w:t>
      </w:r>
      <w:r>
        <w:t xml:space="preserve">Scripted creation of the</w:t>
      </w:r>
      <w:r>
        <w:t xml:space="preserve"> </w:t>
      </w:r>
      <w:r>
        <w:rPr>
          <w:rStyle w:val="VerbatimChar"/>
        </w:rPr>
        <w:t xml:space="preserve">BTI_Voice</w:t>
      </w:r>
      <w:r>
        <w:t xml:space="preserve"> </w:t>
      </w:r>
      <w:r>
        <w:t xml:space="preserve">module + unique</w:t>
      </w:r>
      <w:r>
        <w:t xml:space="preserve"> </w:t>
      </w:r>
      <w:r>
        <w:rPr>
          <w:rStyle w:val="VerbatimChar"/>
        </w:rPr>
        <w:t xml:space="preserve">BTI_Ref</w:t>
      </w:r>
      <w:r>
        <w:t xml:space="preserve"> </w:t>
      </w:r>
      <w:r>
        <w:t xml:space="preserve">field in a customer’s Zoho org.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equenced-roadmap"/>
      <w:r>
        <w:t xml:space="preserve">6. Sequenced roadmap</w:t>
      </w:r>
      <w:bookmarkEnd w:id="29"/>
    </w:p>
    <w:p>
      <w:pPr>
        <w:pStyle w:val="FirstParagraph"/>
      </w:pPr>
      <w:r>
        <w:rPr>
          <w:b/>
        </w:rPr>
        <w:t xml:space="preserve">Phase 0 — Foundation (~1–2 weeks, BTI-internal, start now)</w:t>
      </w:r>
    </w:p>
    <w:p>
      <w:pPr>
        <w:numPr>
          <w:ilvl w:val="0"/>
          <w:numId w:val="1008"/>
        </w:numPr>
        <w:pStyle w:val="Compact"/>
      </w:pPr>
      <w:r>
        <w:t xml:space="preserve">Fix the 5 hard blockers (§1) — 1–2 days</w:t>
      </w:r>
    </w:p>
    <w:p>
      <w:pPr>
        <w:numPr>
          <w:ilvl w:val="0"/>
          <w:numId w:val="1008"/>
        </w:numPr>
        <w:pStyle w:val="Compact"/>
      </w:pPr>
      <w:r>
        <w:t xml:space="preserve">Brandable strings via config — 1 day</w:t>
      </w:r>
    </w:p>
    <w:p>
      <w:pPr>
        <w:numPr>
          <w:ilvl w:val="0"/>
          <w:numId w:val="1008"/>
        </w:numPr>
        <w:pStyle w:val="Compact"/>
      </w:pPr>
      <w:r>
        <w:t xml:space="preserve">Bootstrap flow replacing seed — 1–2 days</w:t>
      </w:r>
    </w:p>
    <w:p>
      <w:pPr>
        <w:numPr>
          <w:ilvl w:val="0"/>
          <w:numId w:val="1008"/>
        </w:numPr>
        <w:pStyle w:val="Compact"/>
      </w:pPr>
      <w:r>
        <w:t xml:space="preserve">Consent-record storage — 1 day</w:t>
      </w:r>
    </w:p>
    <w:p>
      <w:pPr>
        <w:numPr>
          <w:ilvl w:val="0"/>
          <w:numId w:val="1008"/>
        </w:numPr>
        <w:pStyle w:val="Compact"/>
      </w:pPr>
      <w:r>
        <w:t xml:space="preserve">Twilio: ISV Primary Profile + parent SHAKEN/STIR + Compliance Embeddable beta request — mostly wait time, run in parallel</w:t>
      </w:r>
    </w:p>
    <w:p>
      <w:pPr>
        <w:numPr>
          <w:ilvl w:val="0"/>
          <w:numId w:val="1008"/>
        </w:numPr>
        <w:pStyle w:val="Compact"/>
      </w:pPr>
      <w:r>
        <w:t xml:space="preserve">Deploy runbook + env template — half day</w:t>
      </w:r>
    </w:p>
    <w:p>
      <w:pPr>
        <w:numPr>
          <w:ilvl w:val="0"/>
          <w:numId w:val="1008"/>
        </w:numPr>
        <w:pStyle w:val="Compact"/>
      </w:pPr>
      <w:r>
        <w:t xml:space="preserve">Record demo video from</w:t>
      </w:r>
      <w:r>
        <w:t xml:space="preserve"> </w:t>
      </w:r>
      <w:r>
        <w:rPr>
          <w:rStyle w:val="VerbatimChar"/>
        </w:rPr>
        <w:t xml:space="preserve">BTI-Voice-Demo-Video-Script.md</w:t>
      </w:r>
      <w:r>
        <w:t xml:space="preserve"> </w:t>
      </w:r>
      <w:r>
        <w:t xml:space="preserve">— parallel, any time</w:t>
      </w:r>
    </w:p>
    <w:p>
      <w:pPr>
        <w:pStyle w:val="FirstParagraph"/>
      </w:pPr>
      <w:r>
        <w:rPr>
          <w:b/>
        </w:rPr>
        <w:t xml:space="preserve">Phase 1 — First pilot (~4–6 weeks calendar, ~2–3 days BTI labor)</w:t>
      </w:r>
    </w:p>
    <w:p>
      <w:pPr>
        <w:numPr>
          <w:ilvl w:val="0"/>
          <w:numId w:val="1009"/>
        </w:numPr>
        <w:pStyle w:val="Compact"/>
      </w:pPr>
      <w:r>
        <w:t xml:space="preserve">Pick the friendliest existing MSP client; send intake form + website checklist the day they say yes</w:t>
      </w:r>
    </w:p>
    <w:p>
      <w:pPr>
        <w:numPr>
          <w:ilvl w:val="0"/>
          <w:numId w:val="1009"/>
        </w:numPr>
        <w:pStyle w:val="Compact"/>
      </w:pPr>
      <w:r>
        <w:t xml:space="preserve">Spin up Railway project + subaccount; voice live in ~days; SMS after campaign vetting</w:t>
      </w:r>
    </w:p>
    <w:p>
      <w:pPr>
        <w:numPr>
          <w:ilvl w:val="0"/>
          <w:numId w:val="1009"/>
        </w:numPr>
        <w:pStyle w:val="Compact"/>
      </w:pPr>
      <w:r>
        <w:t xml:space="preserve">Browser app only; $35/user/mo + onboarding fee; watch usage weekly</w:t>
      </w:r>
    </w:p>
    <w:p>
      <w:pPr>
        <w:pStyle w:val="FirstParagraph"/>
      </w:pPr>
      <w:r>
        <w:rPr>
          <w:b/>
        </w:rPr>
        <w:t xml:space="preserve">Phase 2 — Pilots 2–5 (repeat Phase 1; refine runbook each time)</w:t>
      </w:r>
    </w:p>
    <w:p>
      <w:pPr>
        <w:numPr>
          <w:ilvl w:val="0"/>
          <w:numId w:val="1010"/>
        </w:numPr>
        <w:pStyle w:val="Compact"/>
      </w:pPr>
      <w:r>
        <w:t xml:space="preserve">Per-number IVR routing when a customer needs a second number</w:t>
      </w:r>
    </w:p>
    <w:p>
      <w:pPr>
        <w:numPr>
          <w:ilvl w:val="0"/>
          <w:numId w:val="1010"/>
        </w:numPr>
        <w:pStyle w:val="Compact"/>
      </w:pPr>
      <w:r>
        <w:t xml:space="preserve">Media-token hardening before or during first pilot</w:t>
      </w:r>
    </w:p>
    <w:p>
      <w:pPr>
        <w:numPr>
          <w:ilvl w:val="0"/>
          <w:numId w:val="1010"/>
        </w:numPr>
        <w:pStyle w:val="Compact"/>
      </w:pPr>
      <w:r>
        <w:t xml:space="preserve">Ask accountant about telecom tax treatment before first invoice</w:t>
      </w:r>
    </w:p>
    <w:p>
      <w:pPr>
        <w:pStyle w:val="FirstParagraph"/>
      </w:pPr>
      <w:r>
        <w:rPr>
          <w:b/>
        </w:rPr>
        <w:t xml:space="preserve">Phase 3 — Decide at ~5 customers:</w:t>
      </w:r>
      <w:r>
        <w:t xml:space="preserve"> </w:t>
      </w:r>
      <w:r>
        <w:t xml:space="preserve">multi-tenancy vs continue cloning; desktop installers; SOC 2; other-CRM integrations; Talkingvet vet-market channel.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pen-decisions-for-danny"/>
      <w:r>
        <w:t xml:space="preserve">7. Open decisions for Danny</w:t>
      </w:r>
      <w:bookmarkEnd w:id="3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Product name/brand</w:t>
      </w:r>
      <w:r>
        <w:t xml:space="preserve"> </w:t>
      </w:r>
      <w:r>
        <w:t xml:space="preserve">for external sale — keep</w:t>
      </w:r>
      <w:r>
        <w:t xml:space="preserve"> </w:t>
      </w:r>
      <w:r>
        <w:t xml:space="preserve">“</w:t>
      </w:r>
      <w:r>
        <w:t xml:space="preserve">BTI Voice</w:t>
      </w:r>
      <w:r>
        <w:t xml:space="preserve">”</w:t>
      </w:r>
      <w:r>
        <w:t xml:space="preserve">? (Recommended for MSP-channel sales.)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First pilot candidate</w:t>
      </w:r>
      <w:r>
        <w:t xml:space="preserve"> </w:t>
      </w:r>
      <w:r>
        <w:t xml:space="preserve">— which MSP client?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Pricing sign-off</w:t>
      </w:r>
      <w:r>
        <w:t xml:space="preserve"> </w:t>
      </w:r>
      <w:r>
        <w:t xml:space="preserve">— $35/user/mo + $250–500 onboarding, monthly billing, fair-use policy.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Browser-only for pilots</w:t>
      </w:r>
      <w:r>
        <w:t xml:space="preserve"> </w:t>
      </w:r>
      <w:r>
        <w:t xml:space="preserve">— confirm desktop installer is NOT offered initially.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Telecom tax question</w:t>
      </w:r>
      <w:r>
        <w:t xml:space="preserve"> </w:t>
      </w:r>
      <w:r>
        <w:t xml:space="preserve">to the accountant — research done, see §8; the specific asks for the accountant are listed there.</w:t>
      </w:r>
    </w:p>
    <w:p>
      <w:pPr>
        <w:numPr>
          <w:ilvl w:val="0"/>
          <w:numId w:val="1011"/>
        </w:numPr>
        <w:pStyle w:val="Compact"/>
      </w:pPr>
      <w:r>
        <w:t xml:space="preserve">Whether BTI’s existing Twilio account converts to ISV profile cleanly or needs Twilio Support (existing A2P campaign must not break — BTI’s own traffic keeps running on the parent account either way).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db4c0c485410b774f468693da3b5f7445b47018"/>
      <w:r>
        <w:t xml:space="preserve">8. Telecom tax &amp; regulatory exposure (researched 2026-08-18 — for the accountant; not legal/tax advice)</w:t>
      </w:r>
      <w:bookmarkEnd w:id="31"/>
    </w:p>
    <w:p>
      <w:pPr>
        <w:pStyle w:val="FirstParagraph"/>
      </w:pPr>
      <w:r>
        <w:rPr>
          <w:b/>
        </w:rPr>
        <w:t xml:space="preserve">Bottom line: billing $35/user/mo in BTI’s name for bundled calling+SMS makes BTI a retail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interconnected VoIP provider</w:t>
      </w:r>
      <w:r>
        <w:rPr>
          <w:b/>
        </w:rPr>
        <w:t xml:space="preserve">”</w:t>
      </w:r>
      <w:r>
        <w:t xml:space="preserve"> </w:t>
      </w:r>
      <w:r>
        <w:t xml:space="preserve">under FCC rules (47 CFR §9.3) and Florida law (Fla. Stat. §365.172) — riding on Twilio does NOT exempt a reseller, and Twilio’s docs say so explicitly. Obligations are not transferable by contract.</w:t>
      </w:r>
    </w:p>
    <w:p>
      <w:pPr>
        <w:pStyle w:val="BodyText"/>
      </w:pPr>
      <w:r>
        <w:rPr>
          <w:b/>
        </w:rPr>
        <w:t xml:space="preserve">What attaches if BTI bills bundled telecom in its own name: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Reality at BTI’s scale (≤50 users, ≤$21k/yr)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FCC: FRN registration + annual Form 499-A</w:t>
            </w:r>
          </w:p>
        </w:tc>
        <w:tc>
          <w:p>
            <w:pPr>
              <w:pStyle w:val="Compact"/>
              <w:jc w:val="left"/>
            </w:pPr>
            <w:r>
              <w:t xml:space="preserve">Mandatory. But BTI is</w:t>
            </w:r>
            <w:r>
              <w:t xml:space="preserve"> </w:t>
            </w:r>
            <w:r>
              <w:rPr>
                <w:b/>
              </w:rPr>
              <w:t xml:space="preserve">de minimis</w:t>
            </w:r>
            <w:r>
              <w:t xml:space="preserve"> </w:t>
            </w:r>
            <w:r>
              <w:t xml:space="preserve">(USF liability ≈ $5.3k safe-harbor calc &lt; $10k threshold) → files 499-A annually, pays $0 USF, no quarterly 499-Q. Keeps paying Twilio’s USF pass-through (de minimis filers can’t give valid reseller certs).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FCC regulatory fee / TRS / NANPA / LNP</w:t>
            </w:r>
          </w:p>
        </w:tc>
        <w:tc>
          <w:p>
            <w:pPr>
              <w:pStyle w:val="Compact"/>
              <w:jc w:val="left"/>
            </w:pPr>
            <w:r>
              <w:t xml:space="preserve">Exempt (&lt;$1,000) or trivial (tens of dollars).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FCC non-tax: CPNI cert (Mar 1), Robocall Mitigation DB, 911 rules</w:t>
            </w:r>
          </w:p>
        </w:tc>
        <w:tc>
          <w:p>
            <w:pPr>
              <w:pStyle w:val="Compact"/>
              <w:jc w:val="left"/>
            </w:pPr>
            <w:r>
              <w:t xml:space="preserve">Apply regardless of size.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Florida CST</w:t>
            </w:r>
          </w:p>
        </w:tc>
        <w:tc>
          <w:p>
            <w:pPr>
              <w:pStyle w:val="Compact"/>
              <w:jc w:val="left"/>
            </w:pPr>
            <w:r>
              <w:t xml:space="preserve">The big one: ~7.44% state + local =</w:t>
            </w:r>
            <w:r>
              <w:t xml:space="preserve"> </w:t>
            </w:r>
            <w:r>
              <w:rPr>
                <w:b/>
              </w:rPr>
              <w:t xml:space="preserve">~12–15% all-in</w:t>
            </w:r>
            <w:r>
              <w:t xml:space="preserve">, applies to business VoIP. Register (DR-1), file</w:t>
            </w:r>
            <w:r>
              <w:t xml:space="preserve"> </w:t>
            </w:r>
            <w:r>
              <w:rPr>
                <w:b/>
              </w:rPr>
              <w:t xml:space="preserve">monthly</w:t>
            </w:r>
            <w:r>
              <w:t xml:space="preserve"> </w:t>
            </w:r>
            <w:r>
              <w:t xml:space="preserve">DR-700016.</w:t>
            </w:r>
            <w:r>
              <w:t xml:space="preserve"> </w:t>
            </w:r>
            <w:r>
              <w:rPr>
                <w:b/>
              </w:rPr>
              <w:t xml:space="preserve">Bundling trap: one $35 price → whole $35 taxable</w:t>
            </w:r>
            <w:r>
              <w:t xml:space="preserve"> </w:t>
            </w:r>
            <w:r>
              <w:t xml:space="preserve">unless telecom is separately stated/allocated in books kept in the ordinary course.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Florida E911 fee</w:t>
            </w:r>
          </w:p>
        </w:tc>
        <w:tc>
          <w:p>
            <w:pPr>
              <w:pStyle w:val="Compact"/>
              <w:jc w:val="left"/>
            </w:pPr>
            <w:r>
              <w:t xml:space="preserve">$0.40/line/mo, BTI (the biller) collects &amp; remits monthly to the FL E911 Board — Twilio’s $0.75 e911 charge is a routing service fee, NOT this surcharge.</w:t>
            </w:r>
          </w:p>
        </w:tc>
      </w:tr>
    </w:tbl>
    <w:p>
      <w:pPr>
        <w:pStyle w:val="BodyText"/>
      </w:pPr>
      <w:r>
        <w:rPr>
          <w:b/>
        </w:rPr>
        <w:t xml:space="preserve">Compliance burden if registering:</w:t>
      </w:r>
      <w:r>
        <w:t xml:space="preserve"> </w:t>
      </w:r>
      <w:r>
        <w:t xml:space="preserve">~4 one-time registrations + ~27–30 filings/yr (mostly monthly FL returns). Outsourced ≈ $3k–10k/yr (single 499-A prep ~$799; small-provider shops: Commpliance Group, Inteserra, Thomas Lynch) — potentially 15–50% of gross revenue at 5-customer scale. The admin, not the tax, is the problem.</w:t>
      </w:r>
    </w:p>
    <w:p>
      <w:pPr>
        <w:pStyle w:val="BodyText"/>
      </w:pPr>
      <w:r>
        <w:rPr>
          <w:b/>
        </w:rPr>
        <w:t xml:space="preserve">Structuring alternatives small resellers use: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A. Agent model (leading candidate — fits the per-customer-subaccount architecture):</w:t>
      </w:r>
      <w:r>
        <w:t xml:space="preserve"> </w:t>
      </w:r>
      <w:r>
        <w:t xml:space="preserve">customer contracts/pays Twilio directly for the telecom (their own subaccount billed to them); BTI bills only software/management. Arguably no provider status → no 499, no CST on BTI’s invoice, no 911 remittance. Substance must match the label.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B. Partial unbundling:</w:t>
      </w:r>
      <w:r>
        <w:t xml:space="preserve"> </w:t>
      </w:r>
      <w:r>
        <w:t xml:space="preserve">separately state</w:t>
      </w:r>
      <w:r>
        <w:t xml:space="preserve"> </w:t>
      </w:r>
      <w:r>
        <w:t xml:space="preserve">“</w:t>
      </w:r>
      <w:r>
        <w:t xml:space="preserve">software/management $X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voice/text $Y</w:t>
      </w:r>
      <w:r>
        <w:t xml:space="preserve">”</w:t>
      </w:r>
      <w:r>
        <w:t xml:space="preserve"> </w:t>
      </w:r>
      <w:r>
        <w:t xml:space="preserve">on the invoice — shrinks the CST base to $Y and clarifies the 499 revenue; provider obligations still attach to the $Y.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C. Register + outsource</w:t>
      </w:r>
      <w:r>
        <w:t xml:space="preserve"> </w:t>
      </w:r>
      <w:r>
        <w:t xml:space="preserve">(costs above).</w:t>
      </w:r>
    </w:p>
    <w:p>
      <w:pPr>
        <w:pStyle w:val="FirstParagraph"/>
      </w:pPr>
      <w:r>
        <w:rPr>
          <w:b/>
        </w:rPr>
        <w:t xml:space="preserve">Enforcement reality:</w:t>
      </w:r>
      <w:r>
        <w:t xml:space="preserve"> </w:t>
      </w:r>
      <w:r>
        <w:t xml:space="preserve">nobody hunts $20k/yr operators, but exposure is a 5-yr (or open-ended for never-filed returns) lookback that surfaces in audits or M&amp;A due diligence; a pending FCC</w:t>
      </w:r>
      <w:r>
        <w:t xml:space="preserve"> </w:t>
      </w:r>
      <w:r>
        <w:t xml:space="preserve">“</w:t>
      </w:r>
      <w:r>
        <w:t xml:space="preserve">Know-Your-Upstream-Provider</w:t>
      </w:r>
      <w:r>
        <w:t xml:space="preserve">”</w:t>
      </w:r>
      <w:r>
        <w:t xml:space="preserve"> </w:t>
      </w:r>
      <w:r>
        <w:t xml:space="preserve">rule may force Twilio to demand resellers’ FCC registrations — the likely discovery vector. Precedent: $153k proposed forfeiture vs a small iVoIP provider (PayG/SkySwitch).</w:t>
      </w:r>
    </w:p>
    <w:p>
      <w:pPr>
        <w:pStyle w:val="BodyText"/>
      </w:pPr>
      <w:r>
        <w:rPr>
          <w:b/>
        </w:rPr>
        <w:t xml:space="preserve">Ask the accountant specifically:</w:t>
      </w:r>
      <w:r>
        <w:t xml:space="preserve"> </w:t>
      </w:r>
      <w:r>
        <w:t xml:space="preserve">(1) what software-vs-telecom allocation Florida DOR will accept for the bundle — get the method in writing in the books BEFORE the first invoice; (2) does the agent model keep BTI out of provider status entirely; (3) whether to register for FL CST regardless.</w:t>
      </w:r>
      <w:r>
        <w:t xml:space="preserve"> </w:t>
      </w:r>
      <w:r>
        <w:rPr>
          <w:b/>
        </w:rPr>
        <w:t xml:space="preserve">Unverified:</w:t>
      </w:r>
      <w:r>
        <w:t xml:space="preserve"> </w:t>
      </w:r>
      <w:r>
        <w:t xml:space="preserve">whether Twilio honors an FL CST resale certificate (their docs suggest no for state telecom taxes — ask taxforms@twilio.com); FL limitations period on never-filed CST returns.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2026-08-18T17:26:26Z</dcterms:created>
  <dcterms:modified xsi:type="dcterms:W3CDTF">2026-08-18T17:26:26Z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