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d9177c8643e291518d810eee1c25fc26a18534"/>
    <w:p>
      <w:pPr>
        <w:pStyle w:val="Heading1"/>
      </w:pPr>
      <w:r>
        <w:t xml:space="preserve">ADR-0010: PEEL Wiring and Core Document Ingestion</w:t>
      </w:r>
    </w:p>
    <w:p>
      <w:pPr>
        <w:pStyle w:val="FirstParagraph"/>
      </w:pPr>
      <w:r>
        <w:t xml:space="preserve">Status: Accepted</w:t>
      </w:r>
      <w:r>
        <w:t xml:space="preserve"> </w:t>
      </w:r>
      <w:r>
        <w:t xml:space="preserve">Layer: Core (Platform)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Two Core invariants were specified but not yet enforced end-to-end: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PEEL must intercept every request and authorize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PEEL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PolicyEngine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peel</w:t>
      </w:r>
      <w:r>
        <w:t xml:space="preserve"> </w:t>
      </w:r>
      <w:r>
        <w:t xml:space="preserve">hook on the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t xml:space="preserve">existed, but no PEEL</w:t>
      </w:r>
      <w:r>
        <w:t xml:space="preserve"> </w:t>
      </w:r>
      <w:r>
        <w:t xml:space="preserve">instance was ever constructed or wired. Authorization was effectively a</w:t>
      </w:r>
      <w:r>
        <w:t xml:space="preserve"> </w:t>
      </w:r>
      <w:r>
        <w:t xml:space="preserve">no-op: any authenticated principal could perform any action, and</w:t>
      </w:r>
      <w:r>
        <w:t xml:space="preserve"> </w:t>
      </w:r>
      <w:r>
        <w:t xml:space="preserve">cross-tenant access was not blocked.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Document is a Resource, and uploading one must emit a ResourceCreated</w:t>
      </w:r>
      <w:r>
        <w:rPr>
          <w:bCs/>
          <w:b/>
        </w:rPr>
        <w:t xml:space="preserve"> </w:t>
      </w:r>
      <w:r>
        <w:rPr>
          <w:bCs/>
          <w:b/>
        </w:rPr>
        <w:t xml:space="preserve">event.</w:t>
      </w:r>
      <w:r>
        <w:t xml:space="preserve"> </w:t>
      </w:r>
      <w:r>
        <w:t xml:space="preserve">No document subsystem existed in Core; the prototype’s Docling</w:t>
      </w:r>
      <w:r>
        <w:t xml:space="preserve"> </w:t>
      </w:r>
      <w:r>
        <w:t xml:space="preserve">normalization lived in the Application/daemon layer.</w:t>
      </w:r>
    </w:p>
    <w:bookmarkEnd w:id="20"/>
    <w:bookmarkStart w:id="23" w:name="decision"/>
    <w:p>
      <w:pPr>
        <w:pStyle w:val="Heading2"/>
      </w:pPr>
      <w:r>
        <w:t xml:space="preserve">Decision</w:t>
      </w:r>
    </w:p>
    <w:bookmarkStart w:id="21" w:name="peel-enforcement-defense-in-depth"/>
    <w:p>
      <w:pPr>
        <w:pStyle w:val="Heading3"/>
      </w:pPr>
      <w:r>
        <w:t xml:space="preserve">PEEL enforcement (defense in depth)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PEEL.authorize</w:t>
      </w:r>
      <w:r>
        <w:t xml:space="preserve"> </w:t>
      </w:r>
      <w:r>
        <w:t xml:space="preserve">now applies three ordered, fail-secure checks: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Multi-tenant isolation</w:t>
      </w:r>
      <w:r>
        <w:t xml:space="preserve"> </w:t>
      </w:r>
      <w:r>
        <w:t xml:space="preserve">— the resource GRN’s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must match the</w:t>
      </w:r>
      <w:r>
        <w:t xml:space="preserve"> </w:t>
      </w:r>
      <w:r>
        <w:t xml:space="preserve">execution context’s organization. Structural; never overridable.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Policy evaluation</w:t>
      </w:r>
      <w:r>
        <w:t xml:space="preserve"> </w:t>
      </w:r>
      <w:r>
        <w:t xml:space="preserve">— when explicit policies are configured they are</w:t>
      </w:r>
      <w:r>
        <w:t xml:space="preserve"> </w:t>
      </w:r>
      <w:r>
        <w:t xml:space="preserve">authoritative (explicit DENY wins; explicit ALLOW grants access).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Identity-based capability check</w:t>
      </w:r>
      <w:r>
        <w:t xml:space="preserve"> </w:t>
      </w:r>
      <w:r>
        <w:t xml:space="preserve">— when no policies are configured,</w:t>
      </w:r>
      <w:r>
        <w:t xml:space="preserve"> </w:t>
      </w:r>
      <w:r>
        <w:t xml:space="preserve">the principal must hold the capability the action requires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policy/capabilities.py</w:t>
      </w:r>
      <w:r>
        <w:t xml:space="preserve"> </w:t>
      </w:r>
      <w:r>
        <w:t xml:space="preserve">maps action verbs →</w:t>
      </w:r>
      <w:r>
        <w:t xml:space="preserve"> </w:t>
      </w:r>
      <w:r>
        <w:rPr>
          <w:rStyle w:val="VerbatimChar"/>
        </w:rPr>
        <w:t xml:space="preserve">Capability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PEEL</w:t>
      </w:r>
      <w:r>
        <w:t xml:space="preserve"> </w:t>
      </w:r>
      <w:r>
        <w:t xml:space="preserve">instance is constructed in</w:t>
      </w:r>
      <w:r>
        <w:t xml:space="preserve"> </w:t>
      </w:r>
      <w:r>
        <w:rPr>
          <w:rStyle w:val="VerbatimChar"/>
        </w:rPr>
        <w:t xml:space="preserve">initialize_gateway_state</w:t>
      </w:r>
      <w:r>
        <w:t xml:space="preserve"> </w:t>
      </w:r>
      <w:r>
        <w:t xml:space="preserve">and wired into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, so</w:t>
      </w:r>
      <w:r>
        <w:t xml:space="preserve"> </w:t>
      </w:r>
      <w:r>
        <w:rPr>
          <w:bCs/>
          <w:b/>
        </w:rPr>
        <w:t xml:space="preserve">every state-changing command</w:t>
      </w:r>
      <w:r>
        <w:t xml:space="preserve"> </w:t>
      </w:r>
      <w:r>
        <w:t xml:space="preserve">is authorized before any</w:t>
      </w:r>
      <w:r>
        <w:t xml:space="preserve"> </w:t>
      </w:r>
      <w:r>
        <w:t xml:space="preserve">event is recorded.</w:t>
      </w:r>
    </w:p>
    <w:p>
      <w:pPr>
        <w:numPr>
          <w:ilvl w:val="0"/>
          <w:numId w:val="1002"/>
        </w:numPr>
        <w:pStyle w:val="Compact"/>
      </w:pPr>
      <w:r>
        <w:t xml:space="preserve">The API middleware performs a</w:t>
      </w:r>
      <w:r>
        <w:t xml:space="preserve"> </w:t>
      </w:r>
      <w:r>
        <w:rPr>
          <w:bCs/>
          <w:b/>
        </w:rPr>
        <w:t xml:space="preserve">coarse PEEL pre-check</w:t>
      </w:r>
      <w:r>
        <w:t xml:space="preserve"> </w:t>
      </w:r>
      <w:r>
        <w:t xml:space="preserve">mapping HTTP</w:t>
      </w:r>
      <w:r>
        <w:t xml:space="preserve"> </w:t>
      </w:r>
      <w:r>
        <w:t xml:space="preserve">method + path → action. This is the primary enforcement point for read (GET)</w:t>
      </w:r>
      <w:r>
        <w:t xml:space="preserve"> </w:t>
      </w:r>
      <w:r>
        <w:t xml:space="preserve">requests, which do not dispatch commands.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UnauthorizedError</w:t>
      </w:r>
      <w:r>
        <w:t xml:space="preserve"> </w:t>
      </w:r>
      <w:r>
        <w:t xml:space="preserve">is mapped to HTTP</w:t>
      </w:r>
      <w:r>
        <w:t xml:space="preserve"> </w:t>
      </w:r>
      <w:r>
        <w:rPr>
          <w:bCs/>
          <w:b/>
        </w:rPr>
        <w:t xml:space="preserve">403</w:t>
      </w:r>
      <w:r>
        <w:t xml:space="preserve">.</w:t>
      </w:r>
    </w:p>
    <w:bookmarkEnd w:id="21"/>
    <w:bookmarkStart w:id="22" w:name="document-ingestion-core"/>
    <w:p>
      <w:pPr>
        <w:pStyle w:val="Heading3"/>
      </w:pPr>
      <w:r>
        <w:t xml:space="preserve">Document ingestion (Core)</w:t>
      </w:r>
    </w:p>
    <w:p>
      <w:pPr>
        <w:numPr>
          <w:ilvl w:val="0"/>
          <w:numId w:val="1004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gabriel.document</w:t>
      </w:r>
      <w:r>
        <w:t xml:space="preserve"> </w:t>
      </w:r>
      <w:r>
        <w:t xml:space="preserve">package: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subclass),</w:t>
      </w:r>
      <w:r>
        <w:t xml:space="preserve"> </w:t>
      </w:r>
      <w:r>
        <w:rPr>
          <w:rStyle w:val="VerbatimChar"/>
        </w:rPr>
        <w:t xml:space="preserve">DocumentNormalizer</w:t>
      </w:r>
      <w:r>
        <w:t xml:space="preserve"> </w:t>
      </w:r>
      <w:r>
        <w:t xml:space="preserve">(migrated/cleaned from the prototype Docling pipeline,</w:t>
      </w:r>
      <w:r>
        <w:t xml:space="preserve"> </w:t>
      </w:r>
      <w:r>
        <w:t xml:space="preserve">with a dependency-free plain-text/CSV/HTML fallback), and</w:t>
      </w:r>
      <w:r>
        <w:t xml:space="preserve"> </w:t>
      </w:r>
      <w:r>
        <w:rPr>
          <w:rStyle w:val="VerbatimChar"/>
        </w:rPr>
        <w:t xml:space="preserve">DocumentIngestionService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Ingestion dispatches a</w:t>
      </w:r>
      <w:r>
        <w:t xml:space="preserve"> </w:t>
      </w:r>
      <w:r>
        <w:rPr>
          <w:rStyle w:val="VerbatimChar"/>
        </w:rPr>
        <w:t xml:space="preserve">create_resource</w:t>
      </w:r>
      <w:r>
        <w:t xml:space="preserve"> </w:t>
      </w:r>
      <w:r>
        <w:t xml:space="preserve">command (action</w:t>
      </w:r>
      <w:r>
        <w:t xml:space="preserve"> </w:t>
      </w:r>
      <w:r>
        <w:rPr>
          <w:rStyle w:val="VerbatimChar"/>
        </w:rPr>
        <w:t xml:space="preserve">document:create</w:t>
      </w:r>
      <w:r>
        <w:t xml:space="preserve">),</w:t>
      </w:r>
      <w:r>
        <w:t xml:space="preserve"> </w:t>
      </w:r>
      <w:r>
        <w:t xml:space="preserve">so PEEL authorizes it and the Event Store records a</w:t>
      </w:r>
      <w:r>
        <w:t xml:space="preserve"> </w:t>
      </w:r>
      <w:r>
        <w:rPr>
          <w:rStyle w:val="VerbatimChar"/>
        </w:rPr>
        <w:t xml:space="preserve">resource_created</w:t>
      </w:r>
      <w:r>
        <w:t xml:space="preserve"> </w:t>
      </w:r>
      <w:r>
        <w:t xml:space="preserve">(ResourceCreated) event transactionally.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docling</w:t>
      </w:r>
      <w:r>
        <w:t xml:space="preserve">/</w:t>
      </w:r>
      <w:r>
        <w:rPr>
          <w:rStyle w:val="VerbatimChar"/>
        </w:rPr>
        <w:t xml:space="preserve">PyMuPDF</w:t>
      </w:r>
      <w:r>
        <w:t xml:space="preserve">/</w:t>
      </w:r>
      <w:r>
        <w:rPr>
          <w:rStyle w:val="VerbatimChar"/>
        </w:rPr>
        <w:t xml:space="preserve">python-docx</w:t>
      </w:r>
      <w:r>
        <w:t xml:space="preserve">/</w:t>
      </w:r>
      <w:r>
        <w:rPr>
          <w:rStyle w:val="VerbatimChar"/>
        </w:rPr>
        <w:t xml:space="preserve">beautifulsoup4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optional</w:t>
      </w:r>
      <w:r>
        <w:t xml:space="preserve"> </w:t>
      </w:r>
      <w:r>
        <w:t xml:space="preserve">extras;</w:t>
      </w:r>
      <w:r>
        <w:t xml:space="preserve"> </w:t>
      </w:r>
      <w:r>
        <w:t xml:space="preserve">the Core path works without them.</w:t>
      </w:r>
    </w:p>
    <w:bookmarkEnd w:id="22"/>
    <w:bookmarkEnd w:id="23"/>
    <w:bookmarkStart w:id="24" w:name="layer-assignment"/>
    <w:p>
      <w:pPr>
        <w:pStyle w:val="Heading2"/>
      </w:pPr>
      <w:r>
        <w:t xml:space="preserve">Layer assignment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Core</w:t>
      </w:r>
      <w:r>
        <w:t xml:space="preserve">: PEEL wiring, capability map,</w:t>
      </w:r>
      <w:r>
        <w:t xml:space="preserve"> </w:t>
      </w:r>
      <w:r>
        <w:rPr>
          <w:rStyle w:val="VerbatimChar"/>
        </w:rPr>
        <w:t xml:space="preserve">gabriel.document.*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/documents</w:t>
      </w:r>
      <w:r>
        <w:t xml:space="preserve"> </w:t>
      </w:r>
      <w:r>
        <w:t xml:space="preserve">gateway router (no chat/LLM/UI).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SDK</w:t>
      </w:r>
      <w:r>
        <w:t xml:space="preserve">: would expose a thin</w:t>
      </w:r>
      <w:r>
        <w:t xml:space="preserve"> </w:t>
      </w:r>
      <w:r>
        <w:rPr>
          <w:rStyle w:val="VerbatimChar"/>
        </w:rPr>
        <w:t xml:space="preserve">documents.upload(...)</w:t>
      </w:r>
      <w:r>
        <w:t xml:space="preserve"> </w:t>
      </w:r>
      <w:r>
        <w:t xml:space="preserve">client over</w:t>
      </w:r>
      <w:r>
        <w:t xml:space="preserve"> </w:t>
      </w:r>
      <w:r>
        <w:rPr>
          <w:rStyle w:val="VerbatimChar"/>
        </w:rPr>
        <w:t xml:space="preserve">/documents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Desktop</w:t>
      </w:r>
      <w:r>
        <w:t xml:space="preserve">: chat/RAG workflows consume ingested documents via the SDK.</w:t>
      </w:r>
    </w:p>
    <w:bookmarkEnd w:id="24"/>
    <w:bookmarkStart w:id="25" w:name="consequences"/>
    <w:p>
      <w:pPr>
        <w:pStyle w:val="Heading2"/>
      </w:pPr>
      <w:r>
        <w:t xml:space="preserve">Consequences</w:t>
      </w:r>
    </w:p>
    <w:p>
      <w:pPr>
        <w:numPr>
          <w:ilvl w:val="0"/>
          <w:numId w:val="1006"/>
        </w:numPr>
        <w:pStyle w:val="Compact"/>
      </w:pPr>
      <w:r>
        <w:t xml:space="preserve">Cross-tenant access and missing-capability requests are now denied (403).</w:t>
      </w:r>
    </w:p>
    <w:p>
      <w:pPr>
        <w:numPr>
          <w:ilvl w:val="0"/>
          <w:numId w:val="1006"/>
        </w:numPr>
        <w:pStyle w:val="Compact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test_peel.py</w:t>
      </w:r>
      <w:r>
        <w:t xml:space="preserve"> </w:t>
      </w:r>
      <w:r>
        <w:t xml:space="preserve">fixtures were updated to same-tenant GRNs to reflect</w:t>
      </w:r>
      <w:r>
        <w:t xml:space="preserve"> </w:t>
      </w:r>
      <w:r>
        <w:t xml:space="preserve">the now-enforced structural isolation invariant.</w:t>
      </w:r>
    </w:p>
    <w:p>
      <w:pPr>
        <w:numPr>
          <w:ilvl w:val="0"/>
          <w:numId w:val="1006"/>
        </w:numPr>
        <w:pStyle w:val="Compact"/>
      </w:pPr>
      <w:r>
        <w:t xml:space="preserve">The Document resource is event-sourced like every other resource; no bespoke</w:t>
      </w:r>
      <w:r>
        <w:t xml:space="preserve"> </w:t>
      </w:r>
      <w:r>
        <w:t xml:space="preserve">table is required for the ResourceCreated guarantee.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2026-06-30T01:17:59Z</dcterms:created>
  <dcterms:modified xsi:type="dcterms:W3CDTF">2026-06-30T01:17:59Z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