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Critical Analysis - Assignment 3</w:t>
      </w:r>
    </w:p>
    <w:p>
      <w:pPr>
        <w:pStyle w:val="Heading1"/>
      </w:pPr>
      <w:r>
        <w:t>TF-IDF vs One-hot Encoding</w:t>
      </w:r>
    </w:p>
    <w:p>
      <w:r>
        <w:t>TF-IDF captures the importance of terms by downweighting frequently occurring but less informative words. This makes it effective for distinguishing nuanced medical terms across diseases. One-hot encoding, on the other hand, focuses on binary presence or absence, offering better interpretability and a closer reflection of discrete clinical indicators.</w:t>
      </w:r>
    </w:p>
    <w:p>
      <w:pPr>
        <w:pStyle w:val="Heading1"/>
      </w:pPr>
      <w:r>
        <w:t>Clustering &amp; Clinical Relevance</w:t>
      </w:r>
    </w:p>
    <w:p>
      <w:r>
        <w:t>Visualization using PCA and SVD showed that one-hot encoded data produced tighter clusters, potentially aligning better with clinical categories. TF-IDF, while semantically richer, resulted in more overlapping clusters, indicating its strength in representing complex but subtler variations.</w:t>
      </w:r>
    </w:p>
    <w:p>
      <w:pPr>
        <w:pStyle w:val="Heading1"/>
      </w:pPr>
      <w:r>
        <w:t>Limitations of Each Encoding</w:t>
      </w:r>
    </w:p>
    <w:p>
      <w:r>
        <w:t>TF-IDF:</w:t>
        <w:br/>
        <w:t>- May reduce interpretability.</w:t>
        <w:br/>
        <w:t>- Requires careful preprocessing and token tuning.</w:t>
        <w:br/>
        <w:br/>
        <w:t>One-hot Encoding:</w:t>
        <w:br/>
        <w:t>- High dimensionality and sparsity.</w:t>
        <w:br/>
        <w:t>- Doesn't capture feature importance or co-occurrence.</w:t>
      </w:r>
    </w:p>
    <w:p>
      <w:pPr>
        <w:pStyle w:val="Heading1"/>
      </w:pPr>
      <w:r>
        <w:t>Dataset Limitation</w:t>
      </w:r>
    </w:p>
    <w:p>
      <w:r>
        <w:t>The dataset contains only one sample per disease class, which is not suitable for supervised learning tasks such as KNN or Logistic Regression. This led to all models scoring 0 in performance metrics. Future work should focus on data augmentation or multi-label/multi-instance frameworks.</w:t>
      </w:r>
    </w:p>
    <w:p>
      <w:pPr>
        <w:pStyle w:val="Heading1"/>
      </w:pPr>
      <w:r>
        <w:t>Conclusion</w:t>
      </w:r>
    </w:p>
    <w:p>
      <w:r>
        <w:t>While one-hot encoding appears more clinically aligned in visualization, TF-IDF may offer better generalization in richer datasets. Further exploration with larger and multi-sample data could provide deeper insights into encoding efficacy for medical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