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NEOPRO</w:t>
      </w:r>
    </w:p>
    <w:p>
      <w:pPr>
        <w:spacing w:after="100"/>
        <w:jc w:val="center"/>
      </w:pPr>
      <w:r>
        <w:rPr>
          <w:rFonts w:ascii="Arial" w:cs="Arial" w:eastAsia="Arial" w:hAnsi="Arial"/>
          <w:color w:val="283593"/>
          <w:sz w:val="44"/>
          <w:szCs w:val="44"/>
        </w:rPr>
        <w:t xml:space="preserve">Mode Opératoire</w:t>
      </w:r>
    </w:p>
    <w:p>
      <w:pPr>
        <w:pBdr>
          <w:bottom w:val="single" w:color="1A237E" w:sz="6" w:space="8"/>
        </w:pBdr>
        <w:spacing w:after="600"/>
        <w:jc w:val="center"/>
      </w:pPr>
      <w:r>
        <w:rPr>
          <w:rFonts w:ascii="Arial" w:cs="Arial" w:eastAsia="Arial" w:hAnsi="Arial"/>
          <w:color w:val="616161"/>
          <w:sz w:val="32"/>
          <w:szCs w:val="32"/>
        </w:rPr>
        <w:t xml:space="preserve">Pilotage Produit depuis l’Excel SAFe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Guide pour les nouveaux arrivants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Version 1.0 — Février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Ce que tu dois savoir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Neopro est un système de TV interactive pour clubs sportifs. On gère une flotte de Raspberry Pi dans des gymnases, connectés à un serveur central. Le pilotage produit suit le framework SAFe (Scaled Agile Framework) simplifié.</w:t>
      </w:r>
    </w:p>
    <w:p>
      <w:pPr>
        <w:pStyle w:val="Heading2"/>
      </w:pPr>
      <w:r>
        <w:rPr>
          <w:rFonts w:ascii="Arial" w:cs="Arial" w:eastAsia="Arial" w:hAnsi="Arial"/>
        </w:rPr>
        <w:t xml:space="preserve">Le fichier Excel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fichier clé est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NEOPRO_SAFe_Portfolio.xlsx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dans </w:t>
      </w: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docs/safe/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C’est la source de vérité pour tout le pilotage produit : roadmap, idées, priorisation, suivi sprint, risques.</w:t>
      </w:r>
    </w:p>
    <w:p>
      <w:pPr>
        <w:pStyle w:val="Heading2"/>
      </w:pPr>
      <w:r>
        <w:rPr>
          <w:rFonts w:ascii="Arial" w:cs="Arial" w:eastAsia="Arial" w:hAnsi="Arial"/>
        </w:rPr>
        <w:t xml:space="preserve">Les 13 onglets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Voici les onglets et leur rôle. Tu n’as pas besoin de tous les maîtriser immédiatement.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800"/>
        <w:gridCol w:w="2838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Onglet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 d’usage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KPIs, status global, roadmap, vélocité</w:t>
            </w:r>
          </w:p>
        </w:tc>
        <w:tc>
          <w:tcPr>
            <w:tcW w:type="dxa" w:w="2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semaine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Glossaire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Termes SAFe pour les non-techniques</w:t>
            </w:r>
          </w:p>
        </w:tc>
        <w:tc>
          <w:tcPr>
            <w:tcW w:type="dxa" w:w="2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 démarrage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Vision &amp; OKR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Vision, 4 Thèmes, 5 Objectifs, Key Results</w:t>
            </w:r>
          </w:p>
        </w:tc>
        <w:tc>
          <w:tcPr>
            <w:tcW w:type="dxa" w:w="2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PI (6 sem.)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Value Streams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flux opérationnels + 1 flux dev</w:t>
            </w:r>
          </w:p>
        </w:tc>
        <w:tc>
          <w:tcPr>
            <w:tcW w:type="dxa" w:w="2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Rarement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Epics &amp; LBC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 Epics avec score WSJF et coût</w:t>
            </w:r>
          </w:p>
        </w:tc>
        <w:tc>
          <w:tcPr>
            <w:tcW w:type="dxa" w:w="2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chaque nouvelle idée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Features &amp; US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 Features groupées par PI</w:t>
            </w:r>
          </w:p>
        </w:tc>
        <w:tc>
          <w:tcPr>
            <w:tcW w:type="dxa" w:w="2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chaque sprint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 Objectives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Objectifs PI avec Business Value</w:t>
            </w:r>
          </w:p>
        </w:tc>
        <w:tc>
          <w:tcPr>
            <w:tcW w:type="dxa" w:w="2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PI Planning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Tracker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Vélocité par sprint, capacité équipe</w:t>
            </w:r>
          </w:p>
        </w:tc>
        <w:tc>
          <w:tcPr>
            <w:tcW w:type="dxa" w:w="2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sprint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ROAM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risques identifiés et mitigations</w:t>
            </w:r>
          </w:p>
        </w:tc>
        <w:tc>
          <w:tcPr>
            <w:tcW w:type="dxa" w:w="2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PI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 Metrics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Métriques par Value Stream</w:t>
            </w:r>
          </w:p>
        </w:tc>
        <w:tc>
          <w:tcPr>
            <w:tcW w:type="dxa" w:w="2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Mensuel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Implemented Backlog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178+ features livrées (13 domaines)</w:t>
            </w:r>
          </w:p>
        </w:tc>
        <w:tc>
          <w:tcPr>
            <w:tcW w:type="dxa" w:w="2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chaque livraison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Backlog US détaillé</w:t>
            </w:r>
          </w:p>
        </w:tc>
        <w:tc>
          <w:tcPr>
            <w:tcW w:type="dxa" w:w="2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chaque sprint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_ChartData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Données pour graphiques (ne pas toucher)</w:t>
            </w:r>
          </w:p>
        </w:tc>
        <w:tc>
          <w:tcPr>
            <w:tcW w:type="dxa" w:w="2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Jamais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D32" w:sz="1"/>
              <w:left w:val="single" w:color="2E7D32" w:sz="6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Astuce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Commence par l’onglet Dashboard pour avoir la vue d’ensemble, puis Glossaire si tu découvres SAFe.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</w:rPr>
        <w:t xml:space="preserve">2. Ajouter une nouvelle idée ou demande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Toute idée, demande client, amélioration ou bug structurant passe par le même chemin dans l’Excel.</w:t>
      </w:r>
    </w:p>
    <w:p>
      <w:pPr>
        <w:pStyle w:val="Heading2"/>
      </w:pPr>
      <w:r>
        <w:rPr>
          <w:rFonts w:ascii="Arial" w:cs="Arial" w:eastAsia="Arial" w:hAnsi="Arial"/>
        </w:rPr>
        <w:t xml:space="preserve">Étape 1 : Créer l’Epic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Onglet : </w:t>
      </w: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Epics &amp; LBC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Trouve le prochain numéro d’Epic disponible (ex: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E-22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Remplis une nouvelle ligne avec 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E-22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titre court et clair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Value Stream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VS1 (Club to Screen), VS2 (Sponsor to Impression) ou Transverse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Thème Stratégique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TS1 (Monétisation), TS2 (Expérience Match), TS3 (Acquisition), TS4 (Excellence Ops)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 cible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le PI où tu vises de le réaliser (PI-2, PI-3, Backlog)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Remplis le Lean Business Case (colonnes suivantes) 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Problème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quel problème ça résout ?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en 1-2 phrases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Story Points estimés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estimation grossière de l’effort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Étape 2 : Scorer le WSJF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WSJF (Weighted Shortest Job First) détermine l’ordre de la roadmap. C’est le critère de priorisation principal.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Pour chaque Epic, remplis les 4 scores (1 à 10) :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38"/>
        <w:gridCol w:w="240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à se poser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Value</w:t>
            </w:r>
          </w:p>
        </w:tc>
        <w:tc>
          <w:tcPr>
            <w:tcW w:type="dxa" w:w="4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Combien de valeur pour les utilisateurs/le business ?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 Criticality</w:t>
            </w:r>
          </w:p>
        </w:tc>
        <w:tc>
          <w:tcPr>
            <w:tcW w:type="dxa" w:w="4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Est-ce urgent ? Le coût du retard est-il élevé ?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Reduction</w:t>
            </w:r>
          </w:p>
        </w:tc>
        <w:tc>
          <w:tcPr>
            <w:tcW w:type="dxa" w:w="4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Est-ce que ça réduit un risque technique ou business ?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Job Size</w:t>
            </w:r>
          </w:p>
        </w:tc>
        <w:tc>
          <w:tcPr>
            <w:tcW w:type="dxa" w:w="4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Taille de l’effort (1 = gros, 10 = petit)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WSJF</w:t>
            </w:r>
          </w:p>
        </w:tc>
        <w:tc>
          <w:tcPr>
            <w:tcW w:type="dxa" w:w="48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final = priorisation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(BV+TC+RR) / JS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Règle d’or 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plus le WSJF est élevé, plus l’Epic est prioritaire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On traite toujours les Epics par WSJF décroissant dans chaque PI.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5100" w:sz="1"/>
              <w:left w:val="single" w:color="E65100" w:sz="6"/>
              <w:bottom w:val="single" w:color="E65100" w:sz="1"/>
              <w:right w:val="single" w:color="E65100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Attention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 modifie jamais les Story Points d’un Epic déjà assigné à un PI en cours sans en discuter avec l’équipe. Les SP déterminent la capacité du PI.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</w:rPr>
        <w:t xml:space="preserve">3. Découper en Features et User Stories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Onglet : </w:t>
      </w: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Features &amp; US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+ </w:t>
      </w: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User Stories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Epic se découpe en Features (livrables concrets), puis chaque Feature en User Stories (tâches de développement).</w:t>
      </w:r>
    </w:p>
    <w:p>
      <w:pPr>
        <w:pStyle w:val="Heading3"/>
      </w:pPr>
      <w:r>
        <w:rPr>
          <w:rFonts w:ascii="Arial" w:cs="Arial" w:eastAsia="Arial" w:hAnsi="Arial"/>
        </w:rPr>
        <w:t xml:space="preserve">Convention de nommage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Feature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F-XX.Y (ex: F-01.3 = 3e feature de l’Epic E-01)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 Story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US-XX.Y.Z (ex: US-01.3.2 = 2e US de la Feature F-01.3)</w:t>
      </w:r>
    </w:p>
    <w:p>
      <w:pPr>
        <w:pStyle w:val="Heading3"/>
      </w:pPr>
      <w:r>
        <w:rPr>
          <w:rFonts w:ascii="Arial" w:cs="Arial" w:eastAsia="Arial" w:hAnsi="Arial"/>
        </w:rPr>
        <w:t xml:space="preserve">Pour chaque Feature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Nom descriptif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ce que l’utilisateur obtient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Critères d’acceptance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comment valider que c’est terminé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Story Points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effort estimé (Fibonacci : 1, 2, 3, 5, 8, 13)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 cible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dans quel PI elle sera réalisée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Statut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Backlog, In Progress, ou Done</w:t>
      </w:r>
    </w:p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</w:rPr>
        <w:t xml:space="preserve">4. Planifier un PI (Program Increment)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PI dure 6 semaines (3 sprints de 2 semaines). C’est le rythme de planification principal.</w:t>
      </w:r>
    </w:p>
    <w:p>
      <w:pPr>
        <w:pStyle w:val="Heading2"/>
      </w:pPr>
      <w:r>
        <w:rPr>
          <w:rFonts w:ascii="Arial" w:cs="Arial" w:eastAsia="Arial" w:hAnsi="Arial"/>
        </w:rPr>
        <w:t xml:space="preserve">Avant le PI Planning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Calcule la capacité 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~26 SP/sprint × 3 sprints = ~78 SP max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(ajuster selon l’équipe)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Trie les Epics par WSJF décroissant dans l’onglet Epics &amp; LBC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Sélectionne les Epics qui rentrent dans la capacité du PI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Remplis l’onglet PI Objectives avec les objectifs et le Business Value (1-10)</w:t>
      </w:r>
    </w:p>
    <w:p>
      <w:pPr>
        <w:pStyle w:val="Heading2"/>
      </w:pPr>
      <w:r>
        <w:rPr>
          <w:rFonts w:ascii="Arial" w:cs="Arial" w:eastAsia="Arial" w:hAnsi="Arial"/>
        </w:rPr>
        <w:t xml:space="preserve">Pendant le PI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Onglet : </w:t>
      </w: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Sprint Tracker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chaque fin de sprint, mets à jour les SP planifiés vs complétés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Mets à jour le statut des Features dans Features &amp; 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les US reportées (carry-over) pour le sprint suivant</w:t>
      </w:r>
    </w:p>
    <w:p>
      <w:pPr>
        <w:pStyle w:val="Heading2"/>
      </w:pPr>
      <w:r>
        <w:rPr>
          <w:rFonts w:ascii="Arial" w:cs="Arial" w:eastAsia="Arial" w:hAnsi="Arial"/>
        </w:rPr>
        <w:t xml:space="preserve">Après le 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Inspect &amp; Adapt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analyse de la vélocité réelle vs prévue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Ajuste la capacité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pour le PI suivant en fonction de la vélocité observée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Mets à jour les risques dans l’onglet ROAM si nécessaire</w:t>
      </w:r>
    </w:p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</w:rPr>
        <w:t xml:space="preserve">5. Suivi au quotidien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dehors des moments de planification, voici les gestes réguliers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38"/>
        <w:gridCol w:w="2000"/>
        <w:gridCol w:w="22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</w:t>
            </w:r>
          </w:p>
        </w:tc>
        <w:tc>
          <w:tcPr>
            <w:tcW w:type="dxa" w:w="34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Onglet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Quoi faire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Chaque jour</w:t>
            </w:r>
          </w:p>
        </w:tc>
        <w:tc>
          <w:tcPr>
            <w:tcW w:type="dxa" w:w="34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Vérifier l’avancement des US en cours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Tracker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Mettre à jour statut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 de sprint</w:t>
            </w:r>
          </w:p>
        </w:tc>
        <w:tc>
          <w:tcPr>
            <w:tcW w:type="dxa" w:w="34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Compléter vélocité et carry-over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Tracker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 réalisés vs planifiés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 terminée</w:t>
            </w:r>
          </w:p>
        </w:tc>
        <w:tc>
          <w:tcPr>
            <w:tcW w:type="dxa" w:w="34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Marquer Done + ajouter au backlog implémenté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Features &amp; US + Implemented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Statut + nouvelle ligne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Nouvelle idée</w:t>
            </w:r>
          </w:p>
        </w:tc>
        <w:tc>
          <w:tcPr>
            <w:tcW w:type="dxa" w:w="34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Créer l’Epic + scorer le WSJF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Epics &amp; LBC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Voir section 2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Nouveau risque</w:t>
            </w:r>
          </w:p>
        </w:tc>
        <w:tc>
          <w:tcPr>
            <w:tcW w:type="dxa" w:w="34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au registre ROAM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ROAM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Catégoriser R/O/A/M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Synchronisation avec le code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L’Excel vit dans le repo Git. Quand tu modifies l’Excel, il faut que les fichiers Markdown (.md) restent cohérents, car ils sont utilisés par les outils de développement.</w:t>
      </w:r>
    </w:p>
    <w:p>
      <w:pPr>
        <w:pStyle w:val="Heading2"/>
      </w:pPr>
      <w:r>
        <w:rPr>
          <w:rFonts w:ascii="Arial" w:cs="Arial" w:eastAsia="Arial" w:hAnsi="Arial"/>
        </w:rPr>
        <w:t xml:space="preserve">Flux de synchronisation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DBDBD" w:sz="1"/>
              <w:left w:val="single" w:color="6A1B9A" w:sz="4"/>
              <w:bottom w:val="single" w:color="BDBDBD" w:sz="1"/>
              <w:right w:val="single" w:color="BDBDBD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4"/>
                <w:szCs w:val="24"/>
              </w:rPr>
              <w:t xml:space="preserve">Tu modifies l’Excel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A1B9A"/>
                <w:sz w:val="28"/>
                <w:szCs w:val="28"/>
              </w:rPr>
              <w:t xml:space="preserve">↓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Tu lances : python docs/safe/scripts/import-from-excel.py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A1B9A"/>
                <w:sz w:val="28"/>
                <w:szCs w:val="28"/>
              </w:rPr>
              <w:t xml:space="preserve">↓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4"/>
                <w:szCs w:val="24"/>
              </w:rPr>
              <w:t xml:space="preserve">Les fichiers .md sont régénérés automatiquement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A1B9A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Tu commit : git add docs/safe/ &amp;&amp; git commit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D32" w:sz="1"/>
              <w:left w:val="single" w:color="2E7D32" w:sz="6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Bon à savoir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flux inverse existe aussi : quand un développeur fait un commit feat() ou fix(), les fichiers .md sont mis à jour automatiquement, et le hook pre-commit regénère l’Excel. Tu auras donc toujours un Excel à jour après un git pull.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Règles d’or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8838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Toute idée passe par un Epic dans l’Excel, même petite. Pas d’Epic = pas dans la roadmap.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8838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 WSJF décide de l’ordre, pas l’urgence ressentie. Toujours scorer avant de prioriser.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8838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 jamais déplacer un Epic de PI sans PI Planning. C’est une décision collective.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6A1B9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8838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 jamais modifier l’onglet _ChartData. Il est généré automatiquement.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8838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Après toute modification Excel, lancer le script d’import pour garder les .md synchronisés.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W w:type="dxa" w:w="8838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L’onglet Implemented Backlog est un journal : on ajoute, on ne supprime jamais.</w:t>
            </w:r>
          </w:p>
        </w:tc>
      </w:tr>
    </w:tbl>
    <w:p>
      <w:pPr>
        <w:spacing w:after="60"/>
      </w:pP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8. Glossaire express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termes que tu croiseras le plus souvent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70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</w:t>
            </w:r>
          </w:p>
        </w:tc>
        <w:tc>
          <w:tcPr>
            <w:tcW w:type="dxa" w:w="70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 Increment. Période de 6 semaines (3 sprints) de planification et exécution.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Epic</w:t>
            </w:r>
          </w:p>
        </w:tc>
        <w:tc>
          <w:tcPr>
            <w:tcW w:type="dxa" w:w="70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Gros bloc fonctionnel (ex: «Portail Sponsor Self-Service»). Se découpe en Features.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</w:t>
            </w:r>
          </w:p>
        </w:tc>
        <w:tc>
          <w:tcPr>
            <w:tcW w:type="dxa" w:w="70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Livrable concret au sein d’un Epic (ex: «Page d’inscription sponsor»).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0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Tâche de développement atomique, format «En tant que... je veux... afin de...».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</w:t>
            </w:r>
          </w:p>
        </w:tc>
        <w:tc>
          <w:tcPr>
            <w:tcW w:type="dxa" w:w="70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Story Points. Unité de mesure de l’effort (pas du temps). Échelle Fibonacci.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WSJF</w:t>
            </w:r>
          </w:p>
        </w:tc>
        <w:tc>
          <w:tcPr>
            <w:tcW w:type="dxa" w:w="70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Weighted Shortest Job First. Score de priorisation = (BV + TC + RR) / Job Size.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Value Stream</w:t>
            </w:r>
          </w:p>
        </w:tc>
        <w:tc>
          <w:tcPr>
            <w:tcW w:type="dxa" w:w="70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Flux de valeur. VS1 = Club to Screen, VS2 = Sponsor to Impression.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ROAM</w:t>
            </w:r>
          </w:p>
        </w:tc>
        <w:tc>
          <w:tcPr>
            <w:tcW w:type="dxa" w:w="70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Resolved / Owned / Accepted / Mitigated. Catégorisation des risques.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LBC</w:t>
            </w:r>
          </w:p>
        </w:tc>
        <w:tc>
          <w:tcPr>
            <w:tcW w:type="dxa" w:w="70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Lean Business Case. Justification d’un Epic (problème, solution, coût, KPIs).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Carry-over</w:t>
            </w:r>
          </w:p>
        </w:tc>
        <w:tc>
          <w:tcPr>
            <w:tcW w:type="dxa" w:w="7038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Stories non terminées reportées au sprint suivant. Cible : &lt; 15%.</w:t>
            </w:r>
          </w:p>
        </w:tc>
      </w:tr>
    </w:tbl>
    <w:p>
      <w:pPr>
        <w:spacing w:after="200"/>
      </w:pPr>
    </w:p>
    <w:p>
      <w:pPr>
        <w:pBdr>
          <w:top w:val="single" w:color="1A237E" w:sz="2" w:space="8"/>
        </w:pBdr>
        <w:spacing w:before="20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Des questions ? Demande à Gwenvael ou ouvre l’onglet Glossaire de l’Excel.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2" w:space="4"/>
      </w:pBdr>
    </w:pPr>
    <w:r>
      <w:rPr>
        <w:rFonts w:ascii="Arial" w:cs="Arial" w:eastAsia="Arial" w:hAnsi="Arial"/>
        <w:b/>
        <w:bCs/>
        <w:color w:val="1A237E"/>
        <w:sz w:val="16"/>
        <w:szCs w:val="16"/>
      </w:rPr>
      <w:t xml:space="preserve">NEOPRO</w:t>
    </w:r>
    <w:r>
      <w:rPr>
        <w:rFonts w:ascii="Arial" w:cs="Arial" w:eastAsia="Arial" w:hAnsi="Arial"/>
        <w:color w:val="999999"/>
        <w:sz w:val="16"/>
        <w:szCs w:val="16"/>
      </w:rPr>
      <w:t xml:space="preserve">  |  Mode Opératoire SAFe/Excel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237E" w:sz="4" w:space="4"/>
      </w:pBdr>
      <w:spacing w:before="360" w:after="2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2026-02-20T12:47:36.854Z</dcterms:created>
  <dcterms:modified xsi:type="dcterms:W3CDTF">2026-02-20T12:47:36.855Z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