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83771" w14:textId="77777777" w:rsidR="00753A8B" w:rsidRDefault="00000000">
      <w:pPr>
        <w:jc w:val="center"/>
        <w:rPr>
          <w:sz w:val="24"/>
          <w:szCs w:val="24"/>
        </w:rPr>
      </w:pPr>
      <w:r>
        <w:rPr>
          <w:sz w:val="40"/>
          <w:szCs w:val="40"/>
        </w:rPr>
        <w:t>Investment Analysis: Palantir</w:t>
      </w:r>
      <w:r>
        <w:rPr>
          <w:sz w:val="24"/>
          <w:szCs w:val="24"/>
        </w:rPr>
        <w:t xml:space="preserve"> </w:t>
      </w:r>
    </w:p>
    <w:p w14:paraId="17C3A852" w14:textId="77777777" w:rsidR="00753A8B" w:rsidRDefault="00000000">
      <w:pPr>
        <w:jc w:val="center"/>
        <w:rPr>
          <w:sz w:val="24"/>
          <w:szCs w:val="24"/>
        </w:rPr>
      </w:pPr>
      <w:r>
        <w:rPr>
          <w:sz w:val="24"/>
          <w:szCs w:val="24"/>
        </w:rPr>
        <w:t>Talon Hird &amp; Ryan Yang &amp; Minh Tam Nguyen</w:t>
      </w:r>
    </w:p>
    <w:p w14:paraId="481D0317" w14:textId="77777777" w:rsidR="00753A8B" w:rsidRDefault="00000000">
      <w:pPr>
        <w:jc w:val="center"/>
        <w:rPr>
          <w:sz w:val="20"/>
          <w:szCs w:val="20"/>
        </w:rPr>
      </w:pPr>
      <w:r>
        <w:rPr>
          <w:sz w:val="20"/>
          <w:szCs w:val="20"/>
        </w:rPr>
        <w:t>ACCTG 432 Oct 21 2024</w:t>
      </w:r>
    </w:p>
    <w:p w14:paraId="1C0C7721" w14:textId="77777777" w:rsidR="00753A8B" w:rsidRDefault="00753A8B">
      <w:pPr>
        <w:jc w:val="center"/>
        <w:rPr>
          <w:sz w:val="14"/>
          <w:szCs w:val="14"/>
        </w:rPr>
      </w:pPr>
    </w:p>
    <w:p w14:paraId="2542E470" w14:textId="77777777" w:rsidR="00753A8B" w:rsidRDefault="00753A8B">
      <w:pPr>
        <w:jc w:val="center"/>
        <w:rPr>
          <w:sz w:val="14"/>
          <w:szCs w:val="14"/>
        </w:rPr>
      </w:pPr>
    </w:p>
    <w:p w14:paraId="1242600D" w14:textId="77777777" w:rsidR="00753A8B" w:rsidRDefault="00753A8B">
      <w:pPr>
        <w:jc w:val="center"/>
        <w:rPr>
          <w:sz w:val="14"/>
          <w:szCs w:val="14"/>
        </w:rPr>
      </w:pPr>
    </w:p>
    <w:p w14:paraId="176B9184" w14:textId="77777777" w:rsidR="00753A8B" w:rsidRDefault="00753A8B">
      <w:pPr>
        <w:jc w:val="center"/>
        <w:rPr>
          <w:sz w:val="24"/>
          <w:szCs w:val="24"/>
        </w:rPr>
      </w:pPr>
    </w:p>
    <w:p w14:paraId="14BA30AD" w14:textId="77777777" w:rsidR="00753A8B" w:rsidRDefault="00000000">
      <w:pPr>
        <w:numPr>
          <w:ilvl w:val="0"/>
          <w:numId w:val="1"/>
        </w:numPr>
        <w:spacing w:line="480" w:lineRule="auto"/>
        <w:ind w:left="360"/>
        <w:rPr>
          <w:sz w:val="24"/>
          <w:szCs w:val="24"/>
        </w:rPr>
      </w:pPr>
      <w:r>
        <w:rPr>
          <w:b/>
          <w:sz w:val="24"/>
          <w:szCs w:val="24"/>
        </w:rPr>
        <w:t>Recommendation:</w:t>
      </w:r>
      <w:r>
        <w:rPr>
          <w:sz w:val="24"/>
          <w:szCs w:val="24"/>
        </w:rPr>
        <w:t xml:space="preserve"> Long Term Buy</w:t>
      </w:r>
    </w:p>
    <w:p w14:paraId="45EA0768" w14:textId="77777777" w:rsidR="00753A8B" w:rsidRDefault="00000000">
      <w:pPr>
        <w:spacing w:line="480" w:lineRule="auto"/>
        <w:rPr>
          <w:sz w:val="24"/>
          <w:szCs w:val="24"/>
        </w:rPr>
      </w:pPr>
      <w:r>
        <w:rPr>
          <w:sz w:val="24"/>
          <w:szCs w:val="24"/>
        </w:rPr>
        <w:t xml:space="preserve">We recommend a </w:t>
      </w:r>
      <w:r>
        <w:rPr>
          <w:b/>
          <w:sz w:val="24"/>
          <w:szCs w:val="24"/>
        </w:rPr>
        <w:t>long-term buy</w:t>
      </w:r>
      <w:r>
        <w:rPr>
          <w:sz w:val="24"/>
          <w:szCs w:val="24"/>
        </w:rPr>
        <w:t xml:space="preserve"> for Palantir.  Palantir is experiencing strong revenue and profit growth along with an impressive contribution margin.  Its deep connections with the government provide stable, recurring revenue through long-term contracts.  Additionally Palantir is well-positioned to capitalize on the early stages of AI adaptation in the enterprise sector which offers significant potential for growth especially as its commercial customer base continues to expand.</w:t>
      </w:r>
    </w:p>
    <w:p w14:paraId="3E2B0137" w14:textId="77777777" w:rsidR="00753A8B" w:rsidRDefault="00753A8B">
      <w:pPr>
        <w:spacing w:line="480" w:lineRule="auto"/>
        <w:rPr>
          <w:sz w:val="24"/>
          <w:szCs w:val="24"/>
        </w:rPr>
      </w:pPr>
    </w:p>
    <w:p w14:paraId="12DA6C0E" w14:textId="77777777" w:rsidR="00753A8B" w:rsidRDefault="00000000">
      <w:pPr>
        <w:numPr>
          <w:ilvl w:val="0"/>
          <w:numId w:val="1"/>
        </w:numPr>
        <w:spacing w:line="480" w:lineRule="auto"/>
        <w:ind w:left="360"/>
        <w:rPr>
          <w:sz w:val="24"/>
          <w:szCs w:val="24"/>
        </w:rPr>
      </w:pPr>
      <w:r>
        <w:rPr>
          <w:b/>
          <w:sz w:val="24"/>
          <w:szCs w:val="24"/>
        </w:rPr>
        <w:t>Long Term Investment Strategy</w:t>
      </w:r>
      <w:r>
        <w:rPr>
          <w:sz w:val="24"/>
          <w:szCs w:val="24"/>
        </w:rPr>
        <w:t>:</w:t>
      </w:r>
    </w:p>
    <w:p w14:paraId="60701D17" w14:textId="77777777" w:rsidR="00753A8B" w:rsidRDefault="00000000">
      <w:pPr>
        <w:spacing w:line="480" w:lineRule="auto"/>
        <w:rPr>
          <w:sz w:val="24"/>
          <w:szCs w:val="24"/>
        </w:rPr>
      </w:pPr>
      <w:r>
        <w:rPr>
          <w:sz w:val="24"/>
          <w:szCs w:val="24"/>
        </w:rPr>
        <w:t>2023 Annual Benefit from PPE = $41,386,115.82    As % of Revenue = 1.86%</w:t>
      </w:r>
    </w:p>
    <w:p w14:paraId="4818EA8D" w14:textId="77777777" w:rsidR="00753A8B" w:rsidRDefault="00000000">
      <w:pPr>
        <w:spacing w:line="480" w:lineRule="auto"/>
        <w:rPr>
          <w:sz w:val="24"/>
          <w:szCs w:val="24"/>
        </w:rPr>
      </w:pPr>
      <w:r>
        <w:rPr>
          <w:sz w:val="24"/>
          <w:szCs w:val="24"/>
        </w:rPr>
        <w:t>2019 Annual Benefit from PPE = $67,295,416.90    As % of Revenue = 9.06%</w:t>
      </w:r>
    </w:p>
    <w:p w14:paraId="7EEAEBF9" w14:textId="77777777" w:rsidR="00753A8B" w:rsidRDefault="00000000">
      <w:pPr>
        <w:spacing w:line="480" w:lineRule="auto"/>
        <w:rPr>
          <w:sz w:val="24"/>
          <w:szCs w:val="24"/>
        </w:rPr>
      </w:pPr>
      <w:r>
        <w:rPr>
          <w:sz w:val="24"/>
          <w:szCs w:val="24"/>
        </w:rPr>
        <w:t>(Data for long-term assets in 2018 is not available so 2019 was used instead)</w:t>
      </w:r>
    </w:p>
    <w:p w14:paraId="156BBDF9" w14:textId="77777777" w:rsidR="00753A8B" w:rsidRDefault="00753A8B">
      <w:pPr>
        <w:spacing w:line="480" w:lineRule="auto"/>
        <w:rPr>
          <w:sz w:val="24"/>
          <w:szCs w:val="24"/>
        </w:rPr>
      </w:pPr>
    </w:p>
    <w:p w14:paraId="6163BF83" w14:textId="77777777" w:rsidR="00753A8B" w:rsidRDefault="00000000">
      <w:pPr>
        <w:numPr>
          <w:ilvl w:val="0"/>
          <w:numId w:val="3"/>
        </w:numPr>
        <w:spacing w:line="480" w:lineRule="auto"/>
        <w:ind w:left="360"/>
        <w:rPr>
          <w:sz w:val="24"/>
          <w:szCs w:val="24"/>
        </w:rPr>
      </w:pPr>
      <w:r>
        <w:rPr>
          <w:sz w:val="24"/>
          <w:szCs w:val="24"/>
        </w:rPr>
        <w:t xml:space="preserve">From 2019 to 2023, Palantir’s annual benefit from long-term assets have decreased with long-term assets contributing less to overall revenue.  It is important to note that in our analysis we used return on equity (ROE) as a proxy for irr in 2023 and CAPM for irr in 2019 as Palantir had a net loss in 2019.  We believe that 2019’s annual benefit may be overstated because of Palantir’s high beta which stems from the fact that Palantir has only recently been able to deliver positive net income and has only recently started to trade on public markets.  We believe that Palantir is currently not </w:t>
      </w:r>
      <w:r>
        <w:rPr>
          <w:sz w:val="24"/>
          <w:szCs w:val="24"/>
        </w:rPr>
        <w:lastRenderedPageBreak/>
        <w:t>as risky as their beta suggests which is why we believe ROE is a more accurate proxy for irr.  However, even with the potentially overstated annual benefit in 2019, we still believe that Palantir’s annual benefit from long-term assets have decreased with long-term assets contributing less to overall revenue.</w:t>
      </w:r>
    </w:p>
    <w:p w14:paraId="4AB6FE6C" w14:textId="77777777" w:rsidR="00753A8B" w:rsidRDefault="00753A8B">
      <w:pPr>
        <w:spacing w:line="480" w:lineRule="auto"/>
        <w:ind w:left="1440"/>
        <w:rPr>
          <w:sz w:val="24"/>
          <w:szCs w:val="24"/>
        </w:rPr>
      </w:pPr>
    </w:p>
    <w:p w14:paraId="694B5C69" w14:textId="77777777" w:rsidR="00753A8B" w:rsidRDefault="00000000">
      <w:pPr>
        <w:numPr>
          <w:ilvl w:val="0"/>
          <w:numId w:val="3"/>
        </w:numPr>
        <w:spacing w:line="480" w:lineRule="auto"/>
        <w:ind w:left="360"/>
        <w:rPr>
          <w:sz w:val="24"/>
          <w:szCs w:val="24"/>
        </w:rPr>
      </w:pPr>
      <w:r>
        <w:rPr>
          <w:sz w:val="24"/>
          <w:szCs w:val="24"/>
        </w:rPr>
        <w:t>Over the past four years Palantir has increased its revenue by 1.5 Billion Dollars while gross depreciable long-term assets have only increased by 10 Million.  This is consistent with management's story as Palantir’s growth results from pilot programs and investment into customers on a case by case basis which is largely research and development as well as sales and marketing.  During this process long-term assets do not need to be purchased to sustain the growth which is why annual benefit from long-term assets as a percentage of revenue decreases as revenue increases.</w:t>
      </w:r>
    </w:p>
    <w:p w14:paraId="0B25068F" w14:textId="77777777" w:rsidR="00753A8B" w:rsidRDefault="00753A8B">
      <w:pPr>
        <w:spacing w:line="480" w:lineRule="auto"/>
        <w:rPr>
          <w:sz w:val="24"/>
          <w:szCs w:val="24"/>
        </w:rPr>
      </w:pPr>
    </w:p>
    <w:p w14:paraId="26794A55" w14:textId="77777777" w:rsidR="00753A8B" w:rsidRDefault="00000000">
      <w:pPr>
        <w:spacing w:line="480" w:lineRule="auto"/>
        <w:rPr>
          <w:b/>
          <w:sz w:val="24"/>
          <w:szCs w:val="24"/>
        </w:rPr>
      </w:pPr>
      <w:r>
        <w:rPr>
          <w:sz w:val="24"/>
          <w:szCs w:val="24"/>
        </w:rPr>
        <w:t xml:space="preserve">3.  </w:t>
      </w:r>
      <w:r>
        <w:rPr>
          <w:b/>
          <w:sz w:val="24"/>
          <w:szCs w:val="24"/>
        </w:rPr>
        <w:t>Revenue and Long-term Assets Growth Rate</w:t>
      </w:r>
    </w:p>
    <w:p w14:paraId="16256311" w14:textId="77777777" w:rsidR="00753A8B" w:rsidRDefault="00000000">
      <w:pPr>
        <w:spacing w:line="480" w:lineRule="auto"/>
        <w:rPr>
          <w:sz w:val="24"/>
          <w:szCs w:val="24"/>
        </w:rPr>
      </w:pPr>
      <w:r>
        <w:rPr>
          <w:sz w:val="24"/>
          <w:szCs w:val="24"/>
        </w:rPr>
        <w:t>The correlation coefficient between the growth in long-term assets and the following year’s growth in revenue is 0.41.  It is important to note that this correlation coefficient may be inaccurate as data from the last five years was used instead of seven due to 2020 being Palantir’s first year trading on the NASDAQ.  We do not believe that investment in long-term assets is an important driver of Palantir’s revenue.</w:t>
      </w:r>
    </w:p>
    <w:p w14:paraId="335641E4" w14:textId="77777777" w:rsidR="00753A8B" w:rsidRDefault="00753A8B">
      <w:pPr>
        <w:spacing w:line="480" w:lineRule="auto"/>
        <w:rPr>
          <w:sz w:val="24"/>
          <w:szCs w:val="24"/>
        </w:rPr>
      </w:pPr>
    </w:p>
    <w:p w14:paraId="0F2AA2F2" w14:textId="77777777" w:rsidR="00753A8B" w:rsidRDefault="00000000">
      <w:pPr>
        <w:spacing w:line="480" w:lineRule="auto"/>
        <w:rPr>
          <w:b/>
          <w:sz w:val="24"/>
          <w:szCs w:val="24"/>
        </w:rPr>
      </w:pPr>
      <w:r>
        <w:rPr>
          <w:sz w:val="24"/>
          <w:szCs w:val="24"/>
        </w:rPr>
        <w:t xml:space="preserve">4. </w:t>
      </w:r>
      <w:r>
        <w:rPr>
          <w:b/>
          <w:sz w:val="24"/>
          <w:szCs w:val="24"/>
        </w:rPr>
        <w:t>CM Estimate and Adjusted R-square</w:t>
      </w:r>
    </w:p>
    <w:p w14:paraId="71B9CC97" w14:textId="77777777" w:rsidR="00753A8B" w:rsidRDefault="00000000">
      <w:pPr>
        <w:spacing w:line="480" w:lineRule="auto"/>
        <w:rPr>
          <w:sz w:val="24"/>
          <w:szCs w:val="24"/>
        </w:rPr>
      </w:pPr>
      <w:r>
        <w:rPr>
          <w:sz w:val="24"/>
          <w:szCs w:val="24"/>
        </w:rPr>
        <w:lastRenderedPageBreak/>
        <w:t xml:space="preserve">Detailed information can be referred to the spreadsheet. After running the regression, the results were: </w:t>
      </w:r>
    </w:p>
    <w:p w14:paraId="7FEAC346" w14:textId="77777777" w:rsidR="00753A8B" w:rsidRDefault="00000000">
      <w:pPr>
        <w:numPr>
          <w:ilvl w:val="0"/>
          <w:numId w:val="2"/>
        </w:numPr>
        <w:spacing w:line="480" w:lineRule="auto"/>
        <w:rPr>
          <w:b/>
          <w:sz w:val="24"/>
          <w:szCs w:val="24"/>
        </w:rPr>
      </w:pPr>
      <w:r>
        <w:rPr>
          <w:b/>
          <w:sz w:val="24"/>
          <w:szCs w:val="24"/>
        </w:rPr>
        <w:t>Estimated CM = 0.843573</w:t>
      </w:r>
    </w:p>
    <w:p w14:paraId="6C524F89" w14:textId="77777777" w:rsidR="00753A8B" w:rsidRDefault="00000000">
      <w:pPr>
        <w:numPr>
          <w:ilvl w:val="0"/>
          <w:numId w:val="2"/>
        </w:numPr>
        <w:spacing w:line="480" w:lineRule="auto"/>
        <w:rPr>
          <w:b/>
          <w:sz w:val="24"/>
          <w:szCs w:val="24"/>
        </w:rPr>
      </w:pPr>
      <w:r>
        <w:rPr>
          <w:b/>
          <w:sz w:val="24"/>
          <w:szCs w:val="24"/>
        </w:rPr>
        <w:t>Adjusted R-square = -0.0018978</w:t>
      </w:r>
    </w:p>
    <w:p w14:paraId="2CC22565" w14:textId="77777777" w:rsidR="00753A8B" w:rsidRDefault="00000000">
      <w:pPr>
        <w:spacing w:line="480" w:lineRule="auto"/>
        <w:rPr>
          <w:sz w:val="24"/>
          <w:szCs w:val="24"/>
        </w:rPr>
      </w:pPr>
      <w:r>
        <w:rPr>
          <w:sz w:val="24"/>
          <w:szCs w:val="24"/>
        </w:rPr>
        <w:t xml:space="preserve">As the Adjusted R-square &lt; 0, which is unreasonable, we run the regression with growth in operating expenses as the dependent variable and the change in revenue as the independent variable. </w:t>
      </w:r>
      <w:r>
        <w:rPr>
          <w:b/>
          <w:sz w:val="24"/>
          <w:szCs w:val="24"/>
        </w:rPr>
        <w:t>We get Adjusted R-square = 0.131362.</w:t>
      </w:r>
      <w:r>
        <w:rPr>
          <w:sz w:val="24"/>
          <w:szCs w:val="24"/>
        </w:rPr>
        <w:t xml:space="preserve"> This indicates that the change in revenue does not explain much of the variation in the change in operating expenses.</w:t>
      </w:r>
    </w:p>
    <w:p w14:paraId="2F215973" w14:textId="77777777" w:rsidR="00753A8B" w:rsidRDefault="00753A8B">
      <w:pPr>
        <w:spacing w:line="480" w:lineRule="auto"/>
        <w:rPr>
          <w:sz w:val="24"/>
          <w:szCs w:val="24"/>
        </w:rPr>
      </w:pPr>
    </w:p>
    <w:p w14:paraId="2D716EBD" w14:textId="77777777" w:rsidR="00753A8B" w:rsidRDefault="00000000">
      <w:pPr>
        <w:spacing w:line="480" w:lineRule="auto"/>
        <w:rPr>
          <w:b/>
          <w:sz w:val="24"/>
          <w:szCs w:val="24"/>
        </w:rPr>
      </w:pPr>
      <w:r>
        <w:rPr>
          <w:sz w:val="24"/>
          <w:szCs w:val="24"/>
        </w:rPr>
        <w:t xml:space="preserve">5. </w:t>
      </w:r>
      <w:r>
        <w:rPr>
          <w:b/>
          <w:sz w:val="24"/>
          <w:szCs w:val="24"/>
        </w:rPr>
        <w:t>Comparisons within the industry</w:t>
      </w:r>
    </w:p>
    <w:p w14:paraId="73B219F4" w14:textId="77777777" w:rsidR="00753A8B" w:rsidRDefault="00000000">
      <w:pPr>
        <w:spacing w:line="480" w:lineRule="auto"/>
        <w:rPr>
          <w:sz w:val="24"/>
          <w:szCs w:val="24"/>
        </w:rPr>
      </w:pPr>
      <w:r>
        <w:rPr>
          <w:sz w:val="24"/>
          <w:szCs w:val="24"/>
        </w:rPr>
        <w:t xml:space="preserve">The three most suitable companies for comparison with Palantir are Salesforce, Datadog, and Snowflake. Palantir is a leader in a quickly growing and emerging industry where these companies also operate.  If one compares Palantir’s Ratios to either the median or mean ratios of these other companies it becomes clear that Palantir trades at a considerable premium. </w:t>
      </w:r>
    </w:p>
    <w:p w14:paraId="129AA8EB" w14:textId="77777777" w:rsidR="00753A8B" w:rsidRDefault="00753A8B">
      <w:pPr>
        <w:spacing w:line="480" w:lineRule="auto"/>
        <w:rPr>
          <w:sz w:val="24"/>
          <w:szCs w:val="24"/>
        </w:rPr>
      </w:pPr>
    </w:p>
    <w:tbl>
      <w:tblPr>
        <w:tblStyle w:val="a"/>
        <w:tblpPr w:leftFromText="180" w:rightFromText="180" w:topFromText="180" w:bottomFromText="180" w:vertAnchor="text" w:tblpX="-15"/>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320"/>
      </w:tblGrid>
      <w:tr w:rsidR="00753A8B" w14:paraId="563F4771" w14:textId="77777777">
        <w:tc>
          <w:tcPr>
            <w:tcW w:w="1320" w:type="dxa"/>
            <w:tcMar>
              <w:top w:w="20" w:type="dxa"/>
              <w:left w:w="20" w:type="dxa"/>
              <w:right w:w="20" w:type="dxa"/>
            </w:tcMar>
            <w:vAlign w:val="center"/>
          </w:tcPr>
          <w:p w14:paraId="524EFBD6" w14:textId="77777777" w:rsidR="00753A8B" w:rsidRDefault="00000000">
            <w:pPr>
              <w:widowControl w:val="0"/>
              <w:spacing w:line="480" w:lineRule="auto"/>
              <w:jc w:val="center"/>
              <w:rPr>
                <w:sz w:val="24"/>
                <w:szCs w:val="24"/>
              </w:rPr>
            </w:pPr>
            <w:r>
              <w:rPr>
                <w:b/>
                <w:sz w:val="24"/>
                <w:szCs w:val="24"/>
              </w:rPr>
              <w:lastRenderedPageBreak/>
              <w:t>Financial Ratios</w:t>
            </w:r>
          </w:p>
        </w:tc>
        <w:tc>
          <w:tcPr>
            <w:tcW w:w="1320" w:type="dxa"/>
            <w:tcMar>
              <w:top w:w="20" w:type="dxa"/>
              <w:left w:w="20" w:type="dxa"/>
              <w:right w:w="20" w:type="dxa"/>
            </w:tcMar>
            <w:vAlign w:val="center"/>
          </w:tcPr>
          <w:p w14:paraId="3B2030FC" w14:textId="77777777" w:rsidR="00753A8B" w:rsidRDefault="00000000">
            <w:pPr>
              <w:widowControl w:val="0"/>
              <w:spacing w:line="480" w:lineRule="auto"/>
              <w:jc w:val="center"/>
              <w:rPr>
                <w:sz w:val="24"/>
                <w:szCs w:val="24"/>
              </w:rPr>
            </w:pPr>
            <w:r>
              <w:rPr>
                <w:b/>
                <w:sz w:val="24"/>
                <w:szCs w:val="24"/>
              </w:rPr>
              <w:t>Palantir (PLTR)</w:t>
            </w:r>
          </w:p>
        </w:tc>
        <w:tc>
          <w:tcPr>
            <w:tcW w:w="1320" w:type="dxa"/>
            <w:tcMar>
              <w:top w:w="20" w:type="dxa"/>
              <w:left w:w="20" w:type="dxa"/>
              <w:right w:w="20" w:type="dxa"/>
            </w:tcMar>
            <w:vAlign w:val="center"/>
          </w:tcPr>
          <w:p w14:paraId="5D041122" w14:textId="77777777" w:rsidR="00753A8B" w:rsidRDefault="00000000">
            <w:pPr>
              <w:widowControl w:val="0"/>
              <w:spacing w:line="480" w:lineRule="auto"/>
              <w:jc w:val="center"/>
              <w:rPr>
                <w:sz w:val="24"/>
                <w:szCs w:val="24"/>
              </w:rPr>
            </w:pPr>
            <w:r>
              <w:rPr>
                <w:b/>
                <w:sz w:val="24"/>
                <w:szCs w:val="24"/>
              </w:rPr>
              <w:t>Snowflake (SNOW)</w:t>
            </w:r>
          </w:p>
        </w:tc>
        <w:tc>
          <w:tcPr>
            <w:tcW w:w="1320" w:type="dxa"/>
            <w:tcMar>
              <w:top w:w="20" w:type="dxa"/>
              <w:left w:w="20" w:type="dxa"/>
              <w:right w:w="20" w:type="dxa"/>
            </w:tcMar>
            <w:vAlign w:val="center"/>
          </w:tcPr>
          <w:p w14:paraId="00121A2D" w14:textId="77777777" w:rsidR="00753A8B" w:rsidRDefault="00000000">
            <w:pPr>
              <w:widowControl w:val="0"/>
              <w:spacing w:line="480" w:lineRule="auto"/>
              <w:jc w:val="center"/>
              <w:rPr>
                <w:sz w:val="24"/>
                <w:szCs w:val="24"/>
              </w:rPr>
            </w:pPr>
            <w:r>
              <w:rPr>
                <w:b/>
                <w:sz w:val="24"/>
                <w:szCs w:val="24"/>
              </w:rPr>
              <w:t>Datadog (DDOG)</w:t>
            </w:r>
          </w:p>
        </w:tc>
        <w:tc>
          <w:tcPr>
            <w:tcW w:w="1320" w:type="dxa"/>
            <w:tcBorders>
              <w:right w:val="single" w:sz="4" w:space="0" w:color="000000"/>
            </w:tcBorders>
            <w:tcMar>
              <w:top w:w="20" w:type="dxa"/>
              <w:left w:w="20" w:type="dxa"/>
              <w:right w:w="20" w:type="dxa"/>
            </w:tcMar>
            <w:vAlign w:val="center"/>
          </w:tcPr>
          <w:p w14:paraId="5182D523" w14:textId="77777777" w:rsidR="00753A8B" w:rsidRDefault="00000000">
            <w:pPr>
              <w:widowControl w:val="0"/>
              <w:spacing w:line="480" w:lineRule="auto"/>
              <w:jc w:val="center"/>
              <w:rPr>
                <w:sz w:val="24"/>
                <w:szCs w:val="24"/>
              </w:rPr>
            </w:pPr>
            <w:r>
              <w:rPr>
                <w:b/>
                <w:sz w:val="24"/>
                <w:szCs w:val="24"/>
              </w:rPr>
              <w:t>Salesforce (CRM)</w:t>
            </w:r>
          </w:p>
        </w:tc>
        <w:tc>
          <w:tcPr>
            <w:tcW w:w="1320" w:type="dxa"/>
            <w:tcBorders>
              <w:top w:val="single" w:sz="4" w:space="0" w:color="000000"/>
              <w:left w:val="single" w:sz="4" w:space="0" w:color="000000"/>
              <w:right w:val="single" w:sz="4" w:space="0" w:color="000000"/>
            </w:tcBorders>
            <w:shd w:val="clear" w:color="auto" w:fill="C1F0C8"/>
            <w:tcMar>
              <w:top w:w="20" w:type="dxa"/>
              <w:left w:w="20" w:type="dxa"/>
              <w:right w:w="20" w:type="dxa"/>
            </w:tcMar>
            <w:vAlign w:val="center"/>
          </w:tcPr>
          <w:p w14:paraId="233780AD" w14:textId="77777777" w:rsidR="00753A8B" w:rsidRDefault="00000000">
            <w:pPr>
              <w:widowControl w:val="0"/>
              <w:spacing w:line="480" w:lineRule="auto"/>
              <w:jc w:val="center"/>
              <w:rPr>
                <w:sz w:val="24"/>
                <w:szCs w:val="24"/>
              </w:rPr>
            </w:pPr>
            <w:r>
              <w:rPr>
                <w:b/>
                <w:sz w:val="24"/>
                <w:szCs w:val="24"/>
              </w:rPr>
              <w:t>Median Ratio</w:t>
            </w:r>
          </w:p>
        </w:tc>
        <w:tc>
          <w:tcPr>
            <w:tcW w:w="1320" w:type="dxa"/>
            <w:tcBorders>
              <w:top w:val="single" w:sz="4" w:space="0" w:color="000000"/>
              <w:left w:val="single" w:sz="4" w:space="0" w:color="000000"/>
              <w:right w:val="single" w:sz="4" w:space="0" w:color="000000"/>
            </w:tcBorders>
            <w:shd w:val="clear" w:color="auto" w:fill="C1F0C8"/>
            <w:tcMar>
              <w:top w:w="20" w:type="dxa"/>
              <w:left w:w="20" w:type="dxa"/>
              <w:right w:w="20" w:type="dxa"/>
            </w:tcMar>
            <w:vAlign w:val="center"/>
          </w:tcPr>
          <w:p w14:paraId="23502F9C" w14:textId="77777777" w:rsidR="00753A8B" w:rsidRDefault="00000000">
            <w:pPr>
              <w:widowControl w:val="0"/>
              <w:spacing w:line="480" w:lineRule="auto"/>
              <w:jc w:val="center"/>
              <w:rPr>
                <w:sz w:val="24"/>
                <w:szCs w:val="24"/>
              </w:rPr>
            </w:pPr>
            <w:r>
              <w:rPr>
                <w:b/>
                <w:sz w:val="24"/>
                <w:szCs w:val="24"/>
              </w:rPr>
              <w:t>Median Ratio</w:t>
            </w:r>
          </w:p>
        </w:tc>
      </w:tr>
      <w:tr w:rsidR="00753A8B" w14:paraId="35FFF698" w14:textId="77777777">
        <w:tc>
          <w:tcPr>
            <w:tcW w:w="1320" w:type="dxa"/>
            <w:tcMar>
              <w:top w:w="20" w:type="dxa"/>
              <w:left w:w="20" w:type="dxa"/>
              <w:right w:w="20" w:type="dxa"/>
            </w:tcMar>
            <w:vAlign w:val="center"/>
          </w:tcPr>
          <w:p w14:paraId="54A496BC" w14:textId="77777777" w:rsidR="00753A8B" w:rsidRDefault="00000000">
            <w:pPr>
              <w:widowControl w:val="0"/>
              <w:spacing w:line="480" w:lineRule="auto"/>
              <w:jc w:val="center"/>
              <w:rPr>
                <w:sz w:val="24"/>
                <w:szCs w:val="24"/>
              </w:rPr>
            </w:pPr>
            <w:r>
              <w:rPr>
                <w:b/>
                <w:sz w:val="24"/>
                <w:szCs w:val="24"/>
              </w:rPr>
              <w:t>Price/Book (P/B)</w:t>
            </w:r>
          </w:p>
        </w:tc>
        <w:tc>
          <w:tcPr>
            <w:tcW w:w="1320" w:type="dxa"/>
            <w:tcMar>
              <w:top w:w="20" w:type="dxa"/>
              <w:left w:w="20" w:type="dxa"/>
              <w:right w:w="20" w:type="dxa"/>
            </w:tcMar>
            <w:vAlign w:val="center"/>
          </w:tcPr>
          <w:p w14:paraId="49379E96" w14:textId="77777777" w:rsidR="00753A8B" w:rsidRDefault="00000000">
            <w:pPr>
              <w:widowControl w:val="0"/>
              <w:spacing w:line="480" w:lineRule="auto"/>
              <w:jc w:val="center"/>
              <w:rPr>
                <w:sz w:val="24"/>
                <w:szCs w:val="24"/>
              </w:rPr>
            </w:pPr>
            <w:r>
              <w:rPr>
                <w:sz w:val="24"/>
                <w:szCs w:val="24"/>
              </w:rPr>
              <w:t>38.12</w:t>
            </w:r>
          </w:p>
        </w:tc>
        <w:tc>
          <w:tcPr>
            <w:tcW w:w="1320" w:type="dxa"/>
            <w:tcMar>
              <w:top w:w="20" w:type="dxa"/>
              <w:left w:w="20" w:type="dxa"/>
              <w:right w:w="20" w:type="dxa"/>
            </w:tcMar>
            <w:vAlign w:val="center"/>
          </w:tcPr>
          <w:p w14:paraId="75CBB6BB" w14:textId="77777777" w:rsidR="00753A8B" w:rsidRDefault="00000000">
            <w:pPr>
              <w:widowControl w:val="0"/>
              <w:spacing w:line="480" w:lineRule="auto"/>
              <w:jc w:val="center"/>
              <w:rPr>
                <w:sz w:val="24"/>
                <w:szCs w:val="24"/>
              </w:rPr>
            </w:pPr>
            <w:r>
              <w:rPr>
                <w:sz w:val="24"/>
                <w:szCs w:val="24"/>
              </w:rPr>
              <w:t>9.7</w:t>
            </w:r>
          </w:p>
        </w:tc>
        <w:tc>
          <w:tcPr>
            <w:tcW w:w="1320" w:type="dxa"/>
            <w:tcMar>
              <w:top w:w="20" w:type="dxa"/>
              <w:left w:w="20" w:type="dxa"/>
              <w:right w:w="20" w:type="dxa"/>
            </w:tcMar>
            <w:vAlign w:val="center"/>
          </w:tcPr>
          <w:p w14:paraId="232E26C3" w14:textId="77777777" w:rsidR="00753A8B" w:rsidRDefault="00000000">
            <w:pPr>
              <w:widowControl w:val="0"/>
              <w:spacing w:line="480" w:lineRule="auto"/>
              <w:jc w:val="center"/>
              <w:rPr>
                <w:sz w:val="24"/>
                <w:szCs w:val="24"/>
              </w:rPr>
            </w:pPr>
            <w:r>
              <w:rPr>
                <w:sz w:val="24"/>
                <w:szCs w:val="24"/>
              </w:rPr>
              <w:t>17.92</w:t>
            </w:r>
          </w:p>
        </w:tc>
        <w:tc>
          <w:tcPr>
            <w:tcW w:w="1320" w:type="dxa"/>
            <w:tcBorders>
              <w:right w:val="single" w:sz="4" w:space="0" w:color="000000"/>
            </w:tcBorders>
            <w:tcMar>
              <w:top w:w="20" w:type="dxa"/>
              <w:left w:w="20" w:type="dxa"/>
              <w:right w:w="20" w:type="dxa"/>
            </w:tcMar>
            <w:vAlign w:val="center"/>
          </w:tcPr>
          <w:p w14:paraId="3C91C003" w14:textId="77777777" w:rsidR="00753A8B" w:rsidRDefault="00000000">
            <w:pPr>
              <w:widowControl w:val="0"/>
              <w:spacing w:line="480" w:lineRule="auto"/>
              <w:jc w:val="center"/>
              <w:rPr>
                <w:sz w:val="24"/>
                <w:szCs w:val="24"/>
              </w:rPr>
            </w:pPr>
            <w:r>
              <w:rPr>
                <w:sz w:val="24"/>
                <w:szCs w:val="24"/>
              </w:rPr>
              <w:t>4.87</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3E7FFD45" w14:textId="77777777" w:rsidR="00753A8B" w:rsidRDefault="00000000">
            <w:pPr>
              <w:widowControl w:val="0"/>
              <w:spacing w:line="480" w:lineRule="auto"/>
              <w:jc w:val="center"/>
              <w:rPr>
                <w:sz w:val="24"/>
                <w:szCs w:val="24"/>
              </w:rPr>
            </w:pPr>
            <w:r>
              <w:rPr>
                <w:sz w:val="24"/>
                <w:szCs w:val="24"/>
              </w:rPr>
              <w:t>9.7</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4F241329" w14:textId="77777777" w:rsidR="00753A8B" w:rsidRDefault="00000000">
            <w:pPr>
              <w:widowControl w:val="0"/>
              <w:spacing w:line="480" w:lineRule="auto"/>
              <w:jc w:val="center"/>
              <w:rPr>
                <w:sz w:val="24"/>
                <w:szCs w:val="24"/>
              </w:rPr>
            </w:pPr>
            <w:r>
              <w:rPr>
                <w:sz w:val="24"/>
                <w:szCs w:val="24"/>
              </w:rPr>
              <w:t>10.83</w:t>
            </w:r>
          </w:p>
        </w:tc>
      </w:tr>
      <w:tr w:rsidR="00753A8B" w14:paraId="59D2D82B" w14:textId="77777777">
        <w:tc>
          <w:tcPr>
            <w:tcW w:w="1320" w:type="dxa"/>
            <w:tcMar>
              <w:top w:w="20" w:type="dxa"/>
              <w:left w:w="20" w:type="dxa"/>
              <w:right w:w="20" w:type="dxa"/>
            </w:tcMar>
            <w:vAlign w:val="center"/>
          </w:tcPr>
          <w:p w14:paraId="37A3F1DF" w14:textId="77777777" w:rsidR="00753A8B" w:rsidRDefault="00000000">
            <w:pPr>
              <w:widowControl w:val="0"/>
              <w:spacing w:line="480" w:lineRule="auto"/>
              <w:jc w:val="center"/>
              <w:rPr>
                <w:sz w:val="24"/>
                <w:szCs w:val="24"/>
              </w:rPr>
            </w:pPr>
            <w:r>
              <w:rPr>
                <w:b/>
                <w:sz w:val="24"/>
                <w:szCs w:val="24"/>
              </w:rPr>
              <w:t>Price/Earnings (P/E)</w:t>
            </w:r>
          </w:p>
        </w:tc>
        <w:tc>
          <w:tcPr>
            <w:tcW w:w="1320" w:type="dxa"/>
            <w:tcMar>
              <w:top w:w="20" w:type="dxa"/>
              <w:left w:w="20" w:type="dxa"/>
              <w:right w:w="20" w:type="dxa"/>
            </w:tcMar>
            <w:vAlign w:val="center"/>
          </w:tcPr>
          <w:p w14:paraId="2782CAE2" w14:textId="77777777" w:rsidR="00753A8B" w:rsidRDefault="00000000">
            <w:pPr>
              <w:widowControl w:val="0"/>
              <w:spacing w:line="480" w:lineRule="auto"/>
              <w:jc w:val="center"/>
              <w:rPr>
                <w:sz w:val="24"/>
                <w:szCs w:val="24"/>
              </w:rPr>
            </w:pPr>
            <w:r>
              <w:rPr>
                <w:sz w:val="24"/>
                <w:szCs w:val="24"/>
              </w:rPr>
              <w:t>253.6</w:t>
            </w:r>
          </w:p>
        </w:tc>
        <w:tc>
          <w:tcPr>
            <w:tcW w:w="1320" w:type="dxa"/>
            <w:vAlign w:val="center"/>
          </w:tcPr>
          <w:p w14:paraId="5FAE15E5" w14:textId="77777777" w:rsidR="00753A8B" w:rsidRDefault="00000000">
            <w:pPr>
              <w:widowControl w:val="0"/>
              <w:spacing w:line="480" w:lineRule="auto"/>
              <w:jc w:val="center"/>
              <w:rPr>
                <w:sz w:val="24"/>
                <w:szCs w:val="24"/>
              </w:rPr>
            </w:pPr>
            <w:r>
              <w:rPr>
                <w:color w:val="111827"/>
                <w:sz w:val="24"/>
                <w:szCs w:val="24"/>
              </w:rPr>
              <w:t>-39.07</w:t>
            </w:r>
          </w:p>
        </w:tc>
        <w:tc>
          <w:tcPr>
            <w:tcW w:w="1320" w:type="dxa"/>
            <w:tcMar>
              <w:top w:w="20" w:type="dxa"/>
              <w:left w:w="20" w:type="dxa"/>
              <w:right w:w="20" w:type="dxa"/>
            </w:tcMar>
            <w:vAlign w:val="center"/>
          </w:tcPr>
          <w:p w14:paraId="348ACB35" w14:textId="77777777" w:rsidR="00753A8B" w:rsidRDefault="00000000">
            <w:pPr>
              <w:widowControl w:val="0"/>
              <w:spacing w:line="480" w:lineRule="auto"/>
              <w:jc w:val="center"/>
              <w:rPr>
                <w:sz w:val="24"/>
                <w:szCs w:val="24"/>
              </w:rPr>
            </w:pPr>
            <w:r>
              <w:rPr>
                <w:sz w:val="24"/>
                <w:szCs w:val="24"/>
              </w:rPr>
              <w:t>288.53</w:t>
            </w:r>
          </w:p>
        </w:tc>
        <w:tc>
          <w:tcPr>
            <w:tcW w:w="1320" w:type="dxa"/>
            <w:tcBorders>
              <w:right w:val="single" w:sz="4" w:space="0" w:color="000000"/>
            </w:tcBorders>
            <w:tcMar>
              <w:top w:w="20" w:type="dxa"/>
              <w:left w:w="20" w:type="dxa"/>
              <w:right w:w="20" w:type="dxa"/>
            </w:tcMar>
            <w:vAlign w:val="center"/>
          </w:tcPr>
          <w:p w14:paraId="4BA28200" w14:textId="77777777" w:rsidR="00753A8B" w:rsidRDefault="00000000">
            <w:pPr>
              <w:widowControl w:val="0"/>
              <w:spacing w:line="480" w:lineRule="auto"/>
              <w:jc w:val="center"/>
              <w:rPr>
                <w:sz w:val="24"/>
                <w:szCs w:val="24"/>
              </w:rPr>
            </w:pPr>
            <w:r>
              <w:rPr>
                <w:sz w:val="24"/>
                <w:szCs w:val="24"/>
              </w:rPr>
              <w:t>51</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34621A5C" w14:textId="77777777" w:rsidR="00753A8B" w:rsidRDefault="00000000">
            <w:pPr>
              <w:widowControl w:val="0"/>
              <w:spacing w:line="480" w:lineRule="auto"/>
              <w:jc w:val="center"/>
              <w:rPr>
                <w:sz w:val="24"/>
                <w:szCs w:val="24"/>
              </w:rPr>
            </w:pPr>
            <w:r>
              <w:rPr>
                <w:sz w:val="24"/>
                <w:szCs w:val="24"/>
              </w:rPr>
              <w:t>51</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329A0587" w14:textId="77777777" w:rsidR="00753A8B" w:rsidRDefault="00000000">
            <w:pPr>
              <w:widowControl w:val="0"/>
              <w:spacing w:line="480" w:lineRule="auto"/>
              <w:jc w:val="center"/>
              <w:rPr>
                <w:sz w:val="24"/>
                <w:szCs w:val="24"/>
              </w:rPr>
            </w:pPr>
            <w:r>
              <w:rPr>
                <w:sz w:val="24"/>
                <w:szCs w:val="24"/>
              </w:rPr>
              <w:t>100.15</w:t>
            </w:r>
          </w:p>
        </w:tc>
      </w:tr>
      <w:tr w:rsidR="00753A8B" w14:paraId="2B142C72" w14:textId="77777777">
        <w:trPr>
          <w:trHeight w:val="414"/>
        </w:trPr>
        <w:tc>
          <w:tcPr>
            <w:tcW w:w="1320" w:type="dxa"/>
            <w:tcMar>
              <w:top w:w="20" w:type="dxa"/>
              <w:left w:w="20" w:type="dxa"/>
              <w:right w:w="20" w:type="dxa"/>
            </w:tcMar>
            <w:vAlign w:val="center"/>
          </w:tcPr>
          <w:p w14:paraId="08BBD872" w14:textId="77777777" w:rsidR="00753A8B" w:rsidRDefault="00000000">
            <w:pPr>
              <w:widowControl w:val="0"/>
              <w:spacing w:line="480" w:lineRule="auto"/>
              <w:jc w:val="center"/>
              <w:rPr>
                <w:sz w:val="24"/>
                <w:szCs w:val="24"/>
              </w:rPr>
            </w:pPr>
            <w:r>
              <w:rPr>
                <w:b/>
                <w:sz w:val="24"/>
                <w:szCs w:val="24"/>
              </w:rPr>
              <w:t>Price/Sales (P/S)</w:t>
            </w:r>
          </w:p>
        </w:tc>
        <w:tc>
          <w:tcPr>
            <w:tcW w:w="1320" w:type="dxa"/>
            <w:tcMar>
              <w:top w:w="20" w:type="dxa"/>
              <w:left w:w="20" w:type="dxa"/>
              <w:right w:w="20" w:type="dxa"/>
            </w:tcMar>
            <w:vAlign w:val="center"/>
          </w:tcPr>
          <w:p w14:paraId="296B3354" w14:textId="77777777" w:rsidR="00753A8B" w:rsidRDefault="00000000">
            <w:pPr>
              <w:widowControl w:val="0"/>
              <w:spacing w:line="480" w:lineRule="auto"/>
              <w:jc w:val="center"/>
              <w:rPr>
                <w:sz w:val="24"/>
                <w:szCs w:val="24"/>
              </w:rPr>
            </w:pPr>
            <w:r>
              <w:rPr>
                <w:sz w:val="24"/>
                <w:szCs w:val="24"/>
              </w:rPr>
              <w:t>23.74</w:t>
            </w:r>
          </w:p>
        </w:tc>
        <w:tc>
          <w:tcPr>
            <w:tcW w:w="1320" w:type="dxa"/>
            <w:tcMar>
              <w:top w:w="20" w:type="dxa"/>
              <w:left w:w="20" w:type="dxa"/>
              <w:right w:w="20" w:type="dxa"/>
            </w:tcMar>
            <w:vAlign w:val="center"/>
          </w:tcPr>
          <w:p w14:paraId="109CF3E9" w14:textId="77777777" w:rsidR="00753A8B" w:rsidRDefault="00000000">
            <w:pPr>
              <w:widowControl w:val="0"/>
              <w:spacing w:line="480" w:lineRule="auto"/>
              <w:jc w:val="center"/>
              <w:rPr>
                <w:sz w:val="24"/>
                <w:szCs w:val="24"/>
              </w:rPr>
            </w:pPr>
            <w:r>
              <w:rPr>
                <w:sz w:val="24"/>
                <w:szCs w:val="24"/>
              </w:rPr>
              <w:t>12.38</w:t>
            </w:r>
          </w:p>
        </w:tc>
        <w:tc>
          <w:tcPr>
            <w:tcW w:w="1320" w:type="dxa"/>
            <w:tcMar>
              <w:top w:w="20" w:type="dxa"/>
              <w:left w:w="20" w:type="dxa"/>
              <w:right w:w="20" w:type="dxa"/>
            </w:tcMar>
            <w:vAlign w:val="center"/>
          </w:tcPr>
          <w:p w14:paraId="7045F5AD" w14:textId="77777777" w:rsidR="00753A8B" w:rsidRDefault="00000000">
            <w:pPr>
              <w:widowControl w:val="0"/>
              <w:spacing w:line="480" w:lineRule="auto"/>
              <w:jc w:val="center"/>
              <w:rPr>
                <w:sz w:val="24"/>
                <w:szCs w:val="24"/>
              </w:rPr>
            </w:pPr>
            <w:r>
              <w:rPr>
                <w:sz w:val="24"/>
                <w:szCs w:val="24"/>
              </w:rPr>
              <w:t>17.68</w:t>
            </w:r>
          </w:p>
        </w:tc>
        <w:tc>
          <w:tcPr>
            <w:tcW w:w="1320" w:type="dxa"/>
            <w:tcBorders>
              <w:right w:val="single" w:sz="4" w:space="0" w:color="000000"/>
            </w:tcBorders>
            <w:tcMar>
              <w:top w:w="20" w:type="dxa"/>
              <w:left w:w="20" w:type="dxa"/>
              <w:right w:w="20" w:type="dxa"/>
            </w:tcMar>
            <w:vAlign w:val="center"/>
          </w:tcPr>
          <w:p w14:paraId="46EEEB5A" w14:textId="77777777" w:rsidR="00753A8B" w:rsidRDefault="00000000">
            <w:pPr>
              <w:widowControl w:val="0"/>
              <w:spacing w:line="480" w:lineRule="auto"/>
              <w:jc w:val="center"/>
              <w:rPr>
                <w:sz w:val="24"/>
                <w:szCs w:val="24"/>
              </w:rPr>
            </w:pPr>
            <w:r>
              <w:rPr>
                <w:sz w:val="24"/>
                <w:szCs w:val="24"/>
              </w:rPr>
              <w:t>7.78</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56C7BF20" w14:textId="77777777" w:rsidR="00753A8B" w:rsidRDefault="00000000">
            <w:pPr>
              <w:widowControl w:val="0"/>
              <w:spacing w:line="480" w:lineRule="auto"/>
              <w:jc w:val="center"/>
              <w:rPr>
                <w:sz w:val="24"/>
                <w:szCs w:val="24"/>
              </w:rPr>
            </w:pPr>
            <w:r>
              <w:rPr>
                <w:sz w:val="24"/>
                <w:szCs w:val="24"/>
              </w:rPr>
              <w:t>12.38</w:t>
            </w:r>
          </w:p>
        </w:tc>
        <w:tc>
          <w:tcPr>
            <w:tcW w:w="1320" w:type="dxa"/>
            <w:tcBorders>
              <w:left w:val="single" w:sz="4" w:space="0" w:color="000000"/>
              <w:right w:val="single" w:sz="4" w:space="0" w:color="000000"/>
            </w:tcBorders>
            <w:shd w:val="clear" w:color="auto" w:fill="C1F0C8"/>
            <w:tcMar>
              <w:top w:w="20" w:type="dxa"/>
              <w:left w:w="20" w:type="dxa"/>
              <w:right w:w="20" w:type="dxa"/>
            </w:tcMar>
            <w:vAlign w:val="center"/>
          </w:tcPr>
          <w:p w14:paraId="47FC09E3" w14:textId="77777777" w:rsidR="00753A8B" w:rsidRDefault="00000000">
            <w:pPr>
              <w:widowControl w:val="0"/>
              <w:spacing w:line="480" w:lineRule="auto"/>
              <w:jc w:val="center"/>
              <w:rPr>
                <w:sz w:val="24"/>
                <w:szCs w:val="24"/>
              </w:rPr>
            </w:pPr>
            <w:r>
              <w:rPr>
                <w:sz w:val="24"/>
                <w:szCs w:val="24"/>
              </w:rPr>
              <w:t>12.61</w:t>
            </w:r>
          </w:p>
        </w:tc>
      </w:tr>
    </w:tbl>
    <w:p w14:paraId="3FF9E93B" w14:textId="77777777" w:rsidR="00753A8B" w:rsidRDefault="00000000">
      <w:pPr>
        <w:spacing w:before="240" w:after="240" w:line="480" w:lineRule="auto"/>
        <w:rPr>
          <w:sz w:val="24"/>
          <w:szCs w:val="24"/>
        </w:rPr>
      </w:pPr>
      <w:r>
        <w:rPr>
          <w:sz w:val="24"/>
          <w:szCs w:val="24"/>
        </w:rPr>
        <w:t xml:space="preserve">This is partially due to each company fulfilling different niches within the emerging data and analytics industry and thus being imperfect comparisons, however one should also consider the unique qualitative properties that make Palantir stand out.  Palantir only IPO’d a short time ago but has a longstanding relationship with the American government as Palantir was initially funded by the venture capital arm of the CIA and exclusively worked with them for almost a decade.  This along with the deep connections Palantir co-founder Peter Thiel has with political lobbying situates Palantir as a foreseeable benefactor of revenue from government contracts.  Palantir generated 1.2 Billion dollars of revenue from government contracts in 2023 which dwarfs its competitors and with emerging opportunities for Palantir to integrate their software in the commercial market we believe that the premium on Palantir’s stock is warranted.   </w:t>
      </w:r>
    </w:p>
    <w:p w14:paraId="717551C6" w14:textId="77777777" w:rsidR="00753A8B" w:rsidRDefault="00753A8B">
      <w:pPr>
        <w:rPr>
          <w:sz w:val="24"/>
          <w:szCs w:val="24"/>
        </w:rPr>
      </w:pPr>
    </w:p>
    <w:p w14:paraId="3CCF14DD" w14:textId="77777777" w:rsidR="00753A8B" w:rsidRDefault="00753A8B">
      <w:pPr>
        <w:rPr>
          <w:sz w:val="24"/>
          <w:szCs w:val="24"/>
        </w:rPr>
      </w:pPr>
    </w:p>
    <w:p w14:paraId="6F60268B" w14:textId="77777777" w:rsidR="00753A8B" w:rsidRDefault="00753A8B">
      <w:pPr>
        <w:rPr>
          <w:sz w:val="24"/>
          <w:szCs w:val="24"/>
        </w:rPr>
      </w:pPr>
    </w:p>
    <w:p w14:paraId="56B38E8B" w14:textId="77777777" w:rsidR="00753A8B" w:rsidRDefault="00000000">
      <w:pPr>
        <w:rPr>
          <w:sz w:val="24"/>
          <w:szCs w:val="24"/>
        </w:rPr>
      </w:pPr>
      <w:r>
        <w:rPr>
          <w:sz w:val="24"/>
          <w:szCs w:val="24"/>
        </w:rPr>
        <w:lastRenderedPageBreak/>
        <w:t>Appendix</w:t>
      </w:r>
    </w:p>
    <w:p w14:paraId="417041A3" w14:textId="77777777" w:rsidR="00753A8B" w:rsidRDefault="00753A8B">
      <w:pPr>
        <w:rPr>
          <w:sz w:val="24"/>
          <w:szCs w:val="24"/>
        </w:rPr>
      </w:pPr>
    </w:p>
    <w:p w14:paraId="0A92ED93" w14:textId="77777777" w:rsidR="00753A8B" w:rsidRDefault="00000000">
      <w:pPr>
        <w:rPr>
          <w:sz w:val="24"/>
          <w:szCs w:val="24"/>
        </w:rPr>
      </w:pPr>
      <w:hyperlink r:id="rId5" w:anchor="gid=1441885479">
        <w:r>
          <w:rPr>
            <w:color w:val="1155CC"/>
            <w:sz w:val="24"/>
            <w:szCs w:val="24"/>
            <w:u w:val="single"/>
          </w:rPr>
          <w:t>https://docs.google.com/spreadsheets/d/1tTKROKCPJKUyGDYtqqqywZXNoCSDUKY6kVKqa0NyFsU/edit?gid=1441885479#gid=1441885479</w:t>
        </w:r>
      </w:hyperlink>
    </w:p>
    <w:p w14:paraId="41B0CE55" w14:textId="77777777" w:rsidR="00753A8B" w:rsidRDefault="00753A8B">
      <w:pPr>
        <w:rPr>
          <w:sz w:val="24"/>
          <w:szCs w:val="24"/>
        </w:rPr>
      </w:pPr>
    </w:p>
    <w:p w14:paraId="36E879FB" w14:textId="77777777" w:rsidR="00753A8B" w:rsidRDefault="00753A8B">
      <w:pPr>
        <w:rPr>
          <w:sz w:val="24"/>
          <w:szCs w:val="24"/>
        </w:rPr>
      </w:pPr>
    </w:p>
    <w:sectPr w:rsidR="00753A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F6CE8"/>
    <w:multiLevelType w:val="multilevel"/>
    <w:tmpl w:val="8CDEB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601C8A"/>
    <w:multiLevelType w:val="multilevel"/>
    <w:tmpl w:val="3850B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5A7339"/>
    <w:multiLevelType w:val="multilevel"/>
    <w:tmpl w:val="509C0A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814106092">
    <w:abstractNumId w:val="1"/>
  </w:num>
  <w:num w:numId="2" w16cid:durableId="1615290410">
    <w:abstractNumId w:val="0"/>
  </w:num>
  <w:num w:numId="3" w16cid:durableId="837580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8B"/>
    <w:rsid w:val="00637E50"/>
    <w:rsid w:val="00753A8B"/>
    <w:rsid w:val="007D14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128F16"/>
  <w15:docId w15:val="{C9854A11-EEC9-3F4D-817C-EB0DA16C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tTKROKCPJKUyGDYtqqqywZXNoCSDUKY6kVKqa0NyFsU/edit?gid=14418854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4461</Characters>
  <Application>Microsoft Office Word</Application>
  <DocSecurity>0</DocSecurity>
  <Lines>67</Lines>
  <Paragraphs>22</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Talon  Hird</cp:lastModifiedBy>
  <cp:revision>2</cp:revision>
  <dcterms:created xsi:type="dcterms:W3CDTF">2025-06-10T22:00:00Z</dcterms:created>
  <dcterms:modified xsi:type="dcterms:W3CDTF">2025-06-10T22:00:00Z</dcterms:modified>
</cp:coreProperties>
</file>