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F1352" w14:textId="77777777" w:rsidR="00805A8D" w:rsidRPr="0077417F" w:rsidRDefault="00EA6D22">
      <w:pPr>
        <w:spacing w:after="20"/>
        <w:rPr>
          <w:sz w:val="36"/>
          <w:szCs w:val="36"/>
        </w:rPr>
      </w:pPr>
      <w:r w:rsidRPr="0077417F">
        <w:rPr>
          <w:rFonts w:ascii="Calibri" w:eastAsia="Calibri" w:hAnsi="Calibri" w:cs="Calibri"/>
          <w:b/>
          <w:bCs/>
          <w:color w:val="1F5FA8"/>
          <w:sz w:val="36"/>
          <w:szCs w:val="36"/>
        </w:rPr>
        <w:t>TRU-ESG Audit Pipeline</w:t>
      </w:r>
    </w:p>
    <w:p w14:paraId="6AE5266D" w14:textId="77777777" w:rsidR="00805A8D" w:rsidRPr="0077417F" w:rsidRDefault="00EA6D22">
      <w:pPr>
        <w:spacing w:after="20"/>
        <w:rPr>
          <w:sz w:val="24"/>
          <w:szCs w:val="24"/>
        </w:rPr>
      </w:pPr>
      <w:r w:rsidRPr="0077417F">
        <w:rPr>
          <w:rFonts w:ascii="Calibri" w:eastAsia="Calibri" w:hAnsi="Calibri" w:cs="Calibri"/>
          <w:b/>
          <w:bCs/>
          <w:color w:val="1A202C"/>
          <w:sz w:val="24"/>
          <w:szCs w:val="24"/>
        </w:rPr>
        <w:t>Scenario Library — Market Positioning &amp; Business Value</w:t>
      </w:r>
    </w:p>
    <w:p w14:paraId="74000454" w14:textId="59C368DD" w:rsidR="00805A8D" w:rsidRPr="0077417F" w:rsidRDefault="00EA6D22">
      <w:pPr>
        <w:spacing w:after="25"/>
      </w:pPr>
      <w:r w:rsidRPr="0077417F">
        <w:rPr>
          <w:rFonts w:ascii="Calibri" w:eastAsia="Calibri" w:hAnsi="Calibri" w:cs="Calibri"/>
          <w:i/>
          <w:iCs/>
          <w:color w:val="4A5568"/>
        </w:rPr>
        <w:t>Multi-Jurisdictional ESG Assurance</w:t>
      </w:r>
      <w:r w:rsidRPr="0077417F">
        <w:rPr>
          <w:rFonts w:ascii="Calibri" w:eastAsia="Calibri" w:hAnsi="Calibri" w:cs="Calibri"/>
          <w:i/>
          <w:iCs/>
          <w:color w:val="4A5568"/>
        </w:rPr>
        <w:t xml:space="preserve"> ·</w:t>
      </w:r>
      <w:r w:rsidRPr="0077417F">
        <w:rPr>
          <w:rFonts w:ascii="Calibri" w:eastAsia="Calibri" w:hAnsi="Calibri" w:cs="Calibri"/>
          <w:i/>
          <w:iCs/>
          <w:color w:val="4A5568"/>
        </w:rPr>
        <w:t xml:space="preserve"> New Zealand &amp; Australia</w:t>
      </w:r>
      <w:r w:rsidRPr="0077417F">
        <w:rPr>
          <w:rFonts w:ascii="Calibri" w:eastAsia="Calibri" w:hAnsi="Calibri" w:cs="Calibri"/>
          <w:i/>
          <w:iCs/>
          <w:color w:val="4A5568"/>
        </w:rPr>
        <w:t xml:space="preserve"> ·</w:t>
      </w:r>
      <w:r w:rsidRPr="0077417F">
        <w:rPr>
          <w:rFonts w:ascii="Calibri" w:eastAsia="Calibri" w:hAnsi="Calibri" w:cs="Calibri"/>
          <w:i/>
          <w:iCs/>
          <w:color w:val="4A5568"/>
        </w:rPr>
        <w:t xml:space="preserve"> v</w:t>
      </w:r>
      <w:r w:rsidR="00244A92">
        <w:rPr>
          <w:rFonts w:ascii="Calibri" w:hAnsi="Calibri" w:cs="Calibri" w:hint="eastAsia"/>
          <w:i/>
          <w:iCs/>
          <w:color w:val="4A5568"/>
        </w:rPr>
        <w:t>1</w:t>
      </w:r>
      <w:r w:rsidRPr="0077417F">
        <w:rPr>
          <w:rFonts w:ascii="Calibri" w:eastAsia="Calibri" w:hAnsi="Calibri" w:cs="Calibri"/>
          <w:i/>
          <w:iCs/>
          <w:color w:val="4A5568"/>
        </w:rPr>
        <w:t>.0</w:t>
      </w:r>
      <w:r w:rsidRPr="0077417F">
        <w:rPr>
          <w:rFonts w:ascii="Calibri" w:eastAsia="Calibri" w:hAnsi="Calibri" w:cs="Calibri"/>
          <w:i/>
          <w:iCs/>
          <w:color w:val="4A5568"/>
        </w:rPr>
        <w:t xml:space="preserve"> · </w:t>
      </w:r>
      <w:r w:rsidRPr="0077417F">
        <w:rPr>
          <w:rFonts w:ascii="Calibri" w:eastAsia="Calibri" w:hAnsi="Calibri" w:cs="Calibri"/>
          <w:i/>
          <w:iCs/>
          <w:color w:val="4A5568"/>
        </w:rPr>
        <w:t>July 2026</w:t>
      </w:r>
    </w:p>
    <w:p w14:paraId="5FEACB80" w14:textId="77777777" w:rsidR="0077417F" w:rsidRDefault="0077417F">
      <w:pPr>
        <w:spacing w:before="22" w:after="12"/>
        <w:rPr>
          <w:rFonts w:ascii="Calibri" w:eastAsia="Calibri" w:hAnsi="Calibri" w:cs="Calibri"/>
          <w:b/>
          <w:bCs/>
          <w:color w:val="1F5FA8"/>
          <w:sz w:val="24"/>
          <w:szCs w:val="24"/>
        </w:rPr>
      </w:pPr>
    </w:p>
    <w:p w14:paraId="3FB2F789" w14:textId="61ED1927" w:rsidR="00805A8D" w:rsidRPr="0077417F" w:rsidRDefault="00EA6D22">
      <w:pPr>
        <w:spacing w:before="22" w:after="12"/>
        <w:rPr>
          <w:sz w:val="24"/>
          <w:szCs w:val="24"/>
        </w:rPr>
      </w:pPr>
      <w:r w:rsidRPr="0077417F">
        <w:rPr>
          <w:rFonts w:ascii="Calibri" w:eastAsia="Calibri" w:hAnsi="Calibri" w:cs="Calibri"/>
          <w:b/>
          <w:bCs/>
          <w:color w:val="1F5FA8"/>
          <w:sz w:val="24"/>
          <w:szCs w:val="24"/>
        </w:rPr>
        <w:t>Market Positioning</w:t>
      </w:r>
    </w:p>
    <w:p w14:paraId="4FCF27B3" w14:textId="77777777" w:rsidR="00805A8D" w:rsidRPr="0077417F" w:rsidRDefault="00EA6D22">
      <w:pPr>
        <w:spacing w:before="14" w:after="14"/>
        <w:rPr>
          <w:sz w:val="22"/>
          <w:szCs w:val="22"/>
        </w:rPr>
      </w:pPr>
      <w:r w:rsidRPr="0077417F">
        <w:rPr>
          <w:rFonts w:ascii="Calibri" w:eastAsia="Calibri" w:hAnsi="Calibri" w:cs="Calibri"/>
          <w:color w:val="2D3748"/>
          <w:sz w:val="22"/>
          <w:szCs w:val="22"/>
        </w:rPr>
        <w:t>ESG assurance is moving from voluntary reporting to regulated, audit-grade disclosure — yet the underlying data was never built to withstand that scrutiny. A number that cannot be traced to its source is, in assurance terms, unverified; and unverified disclosure is no longer merely a reputational risk, but a legal and regulatory one.</w:t>
      </w:r>
    </w:p>
    <w:p w14:paraId="5932CB34" w14:textId="77777777" w:rsidR="00805A8D" w:rsidRDefault="00EA6D22">
      <w:pPr>
        <w:spacing w:before="14" w:after="24"/>
        <w:rPr>
          <w:rFonts w:ascii="Calibri" w:hAnsi="Calibri" w:cs="Calibri"/>
          <w:color w:val="2D3748"/>
          <w:sz w:val="22"/>
          <w:szCs w:val="22"/>
        </w:rPr>
      </w:pPr>
      <w:r w:rsidRPr="0077417F">
        <w:rPr>
          <w:rFonts w:ascii="Calibri" w:eastAsia="Calibri" w:hAnsi="Calibri" w:cs="Calibri"/>
          <w:color w:val="2D3748"/>
          <w:sz w:val="22"/>
          <w:szCs w:val="22"/>
        </w:rPr>
        <w:t>TRU-ESG is an assurance layer, not a carbon calculator. It sits between raw IoT telemetry and boardroom disclosure, aligning source data to the standards that govern ESG reporting — NABERSNZ, NABERS, WELL, GHG Protocol, and IPMVP — and surfacing the integrity failures and compliance gaps that conventional frameworks assume away. The output is an audit-ready evidence package for the investors, government tenants, and assurance teams who depend on it.</w:t>
      </w:r>
    </w:p>
    <w:p w14:paraId="0CD15D07" w14:textId="77777777" w:rsidR="0077417F" w:rsidRPr="0077417F" w:rsidRDefault="0077417F">
      <w:pPr>
        <w:spacing w:before="14" w:after="24"/>
        <w:rPr>
          <w:rFonts w:hint="eastAsia"/>
          <w:sz w:val="22"/>
          <w:szCs w:val="22"/>
        </w:rPr>
      </w:pPr>
    </w:p>
    <w:p w14:paraId="0CAA672E" w14:textId="77777777" w:rsidR="00805A8D" w:rsidRPr="0077417F" w:rsidRDefault="00EA6D22">
      <w:pPr>
        <w:spacing w:before="22" w:after="12"/>
        <w:rPr>
          <w:sz w:val="24"/>
          <w:szCs w:val="24"/>
        </w:rPr>
      </w:pPr>
      <w:r w:rsidRPr="0077417F">
        <w:rPr>
          <w:rFonts w:ascii="Calibri" w:eastAsia="Calibri" w:hAnsi="Calibri" w:cs="Calibri"/>
          <w:b/>
          <w:bCs/>
          <w:color w:val="1F5FA8"/>
          <w:sz w:val="24"/>
          <w:szCs w:val="24"/>
        </w:rPr>
        <w:t>Business Value</w:t>
      </w:r>
    </w:p>
    <w:p w14:paraId="004508A9" w14:textId="77777777" w:rsidR="00805A8D" w:rsidRPr="0077417F" w:rsidRDefault="00EA6D22">
      <w:pPr>
        <w:spacing w:before="12" w:after="16"/>
        <w:rPr>
          <w:sz w:val="22"/>
          <w:szCs w:val="22"/>
        </w:rPr>
      </w:pPr>
      <w:r w:rsidRPr="0077417F">
        <w:rPr>
          <w:rFonts w:ascii="Calibri" w:eastAsia="Calibri" w:hAnsi="Calibri" w:cs="Calibri"/>
          <w:b/>
          <w:bCs/>
          <w:color w:val="1A202C"/>
          <w:sz w:val="22"/>
          <w:szCs w:val="22"/>
        </w:rPr>
        <w:t xml:space="preserve">Efficiency &amp; traceability.  </w:t>
      </w:r>
      <w:r w:rsidRPr="0077417F">
        <w:rPr>
          <w:rFonts w:ascii="Calibri" w:eastAsia="Calibri" w:hAnsi="Calibri" w:cs="Calibri"/>
          <w:color w:val="2D3748"/>
          <w:sz w:val="22"/>
          <w:szCs w:val="22"/>
        </w:rPr>
        <w:t>Every asset and interval is audited automatically, each finding written to an immutable star schema keyed by asset, scenario, and standard. Every figure traces back to a specific event, timestamp, and regulatory clause — a weeks-long manual review becomes a repeatable, defensible pipeline.</w:t>
      </w:r>
    </w:p>
    <w:p w14:paraId="7369F0AA" w14:textId="77777777" w:rsidR="00805A8D" w:rsidRPr="0077417F" w:rsidRDefault="00EA6D22">
      <w:pPr>
        <w:spacing w:before="12" w:after="16"/>
        <w:rPr>
          <w:sz w:val="22"/>
          <w:szCs w:val="22"/>
        </w:rPr>
      </w:pPr>
      <w:r w:rsidRPr="0077417F">
        <w:rPr>
          <w:rFonts w:ascii="Calibri" w:eastAsia="Calibri" w:hAnsi="Calibri" w:cs="Calibri"/>
          <w:b/>
          <w:bCs/>
          <w:color w:val="1A202C"/>
          <w:sz w:val="22"/>
          <w:szCs w:val="22"/>
        </w:rPr>
        <w:t xml:space="preserve">Prioritised decisions.  </w:t>
      </w:r>
      <w:r w:rsidRPr="0077417F">
        <w:rPr>
          <w:rFonts w:ascii="Calibri" w:eastAsia="Calibri" w:hAnsi="Calibri" w:cs="Calibri"/>
          <w:color w:val="2D3748"/>
          <w:sz w:val="22"/>
          <w:szCs w:val="22"/>
        </w:rPr>
        <w:t>Findings are ranked by financial, regulatory, and reputational exposure. When evidence fails verification, the system withholds it from the disclosure rather than reporting an unverified number — integrity before disclosure.</w:t>
      </w:r>
    </w:p>
    <w:p w14:paraId="4242AF95" w14:textId="77777777" w:rsidR="00805A8D" w:rsidRDefault="00EA6D22">
      <w:pPr>
        <w:spacing w:before="12" w:after="16"/>
        <w:rPr>
          <w:rFonts w:ascii="Calibri" w:hAnsi="Calibri" w:cs="Calibri"/>
          <w:color w:val="2D3748"/>
          <w:sz w:val="22"/>
          <w:szCs w:val="22"/>
        </w:rPr>
      </w:pPr>
      <w:r w:rsidRPr="0077417F">
        <w:rPr>
          <w:rFonts w:ascii="Calibri" w:eastAsia="Calibri" w:hAnsi="Calibri" w:cs="Calibri"/>
          <w:b/>
          <w:bCs/>
          <w:color w:val="1A202C"/>
          <w:sz w:val="22"/>
          <w:szCs w:val="22"/>
        </w:rPr>
        <w:t xml:space="preserve">Recoverable value.  </w:t>
      </w:r>
      <w:r w:rsidRPr="0077417F">
        <w:rPr>
          <w:rFonts w:ascii="Calibri" w:eastAsia="Calibri" w:hAnsi="Calibri" w:cs="Calibri"/>
          <w:color w:val="2D3748"/>
          <w:sz w:val="22"/>
          <w:szCs w:val="22"/>
        </w:rPr>
        <w:t>Beyond compliance, the pipeline quantifies avoidable carbon and cost from metering drift, after-hours waste, and efficiency degradation — and the staff productivity protected by maintaining air quality in premium zones (per Allen et al., 2019, Harvard). The audit that satisfies the regulator also builds the investment case.</w:t>
      </w:r>
    </w:p>
    <w:p w14:paraId="012C78BF" w14:textId="77777777" w:rsidR="0077417F" w:rsidRPr="0077417F" w:rsidRDefault="0077417F">
      <w:pPr>
        <w:spacing w:before="12" w:after="16"/>
        <w:rPr>
          <w:rFonts w:hint="eastAsia"/>
          <w:sz w:val="22"/>
          <w:szCs w:val="22"/>
        </w:rPr>
      </w:pPr>
    </w:p>
    <w:p w14:paraId="1356B8BB" w14:textId="77777777" w:rsidR="00805A8D" w:rsidRPr="0077417F" w:rsidRDefault="00EA6D22">
      <w:pPr>
        <w:spacing w:before="22" w:after="12"/>
        <w:rPr>
          <w:sz w:val="24"/>
          <w:szCs w:val="24"/>
        </w:rPr>
      </w:pPr>
      <w:r w:rsidRPr="0077417F">
        <w:rPr>
          <w:rFonts w:ascii="Calibri" w:eastAsia="Calibri" w:hAnsi="Calibri" w:cs="Calibri"/>
          <w:b/>
          <w:bCs/>
          <w:color w:val="1F5FA8"/>
          <w:sz w:val="24"/>
          <w:szCs w:val="24"/>
        </w:rPr>
        <w:t>Product Architecture</w:t>
      </w:r>
    </w:p>
    <w:p w14:paraId="00F989FF" w14:textId="277DF29F" w:rsidR="00805A8D" w:rsidRPr="0077417F" w:rsidRDefault="00EA6D22">
      <w:pPr>
        <w:spacing w:before="12" w:after="14"/>
        <w:ind w:left="200"/>
        <w:rPr>
          <w:sz w:val="22"/>
          <w:szCs w:val="22"/>
        </w:rPr>
      </w:pPr>
      <w:r w:rsidRPr="0077417F">
        <w:rPr>
          <w:rFonts w:ascii="Calibri" w:eastAsia="Calibri" w:hAnsi="Calibri" w:cs="Calibri"/>
          <w:b/>
          <w:bCs/>
          <w:color w:val="2B6CB0"/>
          <w:sz w:val="22"/>
          <w:szCs w:val="22"/>
        </w:rPr>
        <w:t>Inputs</w:t>
      </w:r>
      <w:r w:rsidRPr="0077417F">
        <w:rPr>
          <w:rFonts w:ascii="Calibri" w:eastAsia="Calibri" w:hAnsi="Calibri" w:cs="Calibri"/>
          <w:b/>
          <w:bCs/>
          <w:color w:val="2B6CB0"/>
          <w:sz w:val="22"/>
          <w:szCs w:val="22"/>
        </w:rPr>
        <w:t xml:space="preserve"> →</w:t>
      </w:r>
      <w:r w:rsidRPr="0077417F">
        <w:rPr>
          <w:rFonts w:ascii="Calibri" w:eastAsia="Calibri" w:hAnsi="Calibri" w:cs="Calibri"/>
          <w:b/>
          <w:bCs/>
          <w:color w:val="2B6CB0"/>
          <w:sz w:val="22"/>
          <w:szCs w:val="22"/>
        </w:rPr>
        <w:t xml:space="preserve"> </w:t>
      </w:r>
      <w:r w:rsidRPr="0077417F">
        <w:rPr>
          <w:rFonts w:ascii="Calibri" w:eastAsia="Calibri" w:hAnsi="Calibri" w:cs="Calibri"/>
          <w:color w:val="2D3748"/>
          <w:sz w:val="22"/>
          <w:szCs w:val="22"/>
        </w:rPr>
        <w:t>Sensor telemetry (IoT CO₂, temperature, HVAC, sub-meters); financial evidence (utility invoices, travel records); compliance documents (waste disposal certificates); and reference data (asset registry, climate benchmarks).</w:t>
      </w:r>
    </w:p>
    <w:p w14:paraId="002FA7A0" w14:textId="720B5F23" w:rsidR="00805A8D" w:rsidRPr="0077417F" w:rsidRDefault="00EA6D22">
      <w:pPr>
        <w:spacing w:before="12" w:after="14"/>
        <w:ind w:left="200"/>
        <w:rPr>
          <w:sz w:val="22"/>
          <w:szCs w:val="22"/>
        </w:rPr>
      </w:pPr>
      <w:r w:rsidRPr="0077417F">
        <w:rPr>
          <w:rFonts w:ascii="Calibri" w:eastAsia="Calibri" w:hAnsi="Calibri" w:cs="Calibri"/>
          <w:b/>
          <w:bCs/>
          <w:color w:val="2B6CB0"/>
          <w:sz w:val="22"/>
          <w:szCs w:val="22"/>
        </w:rPr>
        <w:t>Processing</w:t>
      </w:r>
      <w:r w:rsidRPr="0077417F">
        <w:rPr>
          <w:rFonts w:ascii="Calibri" w:eastAsia="Calibri" w:hAnsi="Calibri" w:cs="Calibri"/>
          <w:b/>
          <w:bCs/>
          <w:color w:val="2B6CB0"/>
          <w:sz w:val="22"/>
          <w:szCs w:val="22"/>
        </w:rPr>
        <w:t xml:space="preserve"> →</w:t>
      </w:r>
      <w:r w:rsidRPr="0077417F">
        <w:rPr>
          <w:rFonts w:ascii="Calibri" w:eastAsia="Calibri" w:hAnsi="Calibri" w:cs="Calibri"/>
          <w:b/>
          <w:bCs/>
          <w:color w:val="2B6CB0"/>
          <w:sz w:val="22"/>
          <w:szCs w:val="22"/>
        </w:rPr>
        <w:t xml:space="preserve"> </w:t>
      </w:r>
      <w:r w:rsidRPr="0077417F">
        <w:rPr>
          <w:rFonts w:ascii="Calibri" w:eastAsia="Calibri" w:hAnsi="Calibri" w:cs="Calibri"/>
          <w:color w:val="2D3748"/>
          <w:sz w:val="22"/>
          <w:szCs w:val="22"/>
        </w:rPr>
        <w:t>Twelve scenarios evaluate the data across three problem classes — integrity, operational anomaly, compliance gap — each anchored to a named standard. Cascade logic suspends downstream analysis when upstream evidence cannot be trusted.</w:t>
      </w:r>
    </w:p>
    <w:p w14:paraId="3F3E4A24" w14:textId="734991D4" w:rsidR="00805A8D" w:rsidRPr="0077417F" w:rsidRDefault="00EA6D22">
      <w:pPr>
        <w:spacing w:before="12" w:after="14"/>
        <w:ind w:left="200"/>
        <w:rPr>
          <w:sz w:val="22"/>
          <w:szCs w:val="22"/>
        </w:rPr>
      </w:pPr>
      <w:r w:rsidRPr="0077417F">
        <w:rPr>
          <w:rFonts w:ascii="Calibri" w:eastAsia="Calibri" w:hAnsi="Calibri" w:cs="Calibri"/>
          <w:b/>
          <w:bCs/>
          <w:color w:val="2B6CB0"/>
          <w:sz w:val="22"/>
          <w:szCs w:val="22"/>
        </w:rPr>
        <w:t>Outputs</w:t>
      </w:r>
      <w:r w:rsidRPr="0077417F">
        <w:rPr>
          <w:rFonts w:ascii="Calibri" w:eastAsia="Calibri" w:hAnsi="Calibri" w:cs="Calibri"/>
          <w:b/>
          <w:bCs/>
          <w:color w:val="2B6CB0"/>
          <w:sz w:val="22"/>
          <w:szCs w:val="22"/>
        </w:rPr>
        <w:t xml:space="preserve"> →</w:t>
      </w:r>
      <w:r w:rsidRPr="0077417F">
        <w:rPr>
          <w:rFonts w:ascii="Calibri" w:eastAsia="Calibri" w:hAnsi="Calibri" w:cs="Calibri"/>
          <w:b/>
          <w:bCs/>
          <w:color w:val="2B6CB0"/>
          <w:sz w:val="22"/>
          <w:szCs w:val="22"/>
        </w:rPr>
        <w:t xml:space="preserve"> </w:t>
      </w:r>
      <w:r w:rsidRPr="0077417F">
        <w:rPr>
          <w:rFonts w:ascii="Calibri" w:eastAsia="Calibri" w:hAnsi="Calibri" w:cs="Calibri"/>
          <w:color w:val="2D3748"/>
          <w:sz w:val="22"/>
          <w:szCs w:val="22"/>
        </w:rPr>
        <w:t xml:space="preserve">A machine-readable star schema for BI and audit teams, and a four-page </w:t>
      </w:r>
      <w:proofErr w:type="spellStart"/>
      <w:r w:rsidRPr="0077417F">
        <w:rPr>
          <w:rFonts w:ascii="Calibri" w:eastAsia="Calibri" w:hAnsi="Calibri" w:cs="Calibri"/>
          <w:color w:val="2D3748"/>
          <w:sz w:val="22"/>
          <w:szCs w:val="22"/>
        </w:rPr>
        <w:t>Streamlit</w:t>
      </w:r>
      <w:proofErr w:type="spellEnd"/>
      <w:r w:rsidRPr="0077417F">
        <w:rPr>
          <w:rFonts w:ascii="Calibri" w:eastAsia="Calibri" w:hAnsi="Calibri" w:cs="Calibri"/>
          <w:color w:val="2D3748"/>
          <w:sz w:val="22"/>
          <w:szCs w:val="22"/>
        </w:rPr>
        <w:t xml:space="preserve"> dashboard (Executive · IEQ · Energy · Evidence &amp; Scope 3) for review and decision-making.</w:t>
      </w:r>
    </w:p>
    <w:p w14:paraId="53AF2213" w14:textId="5572BBEE" w:rsidR="00805A8D" w:rsidRDefault="00EA6D22">
      <w:pPr>
        <w:spacing w:before="4" w:after="22"/>
        <w:ind w:left="200"/>
        <w:rPr>
          <w:rFonts w:ascii="Calibri" w:hAnsi="Calibri" w:cs="Calibri"/>
          <w:i/>
          <w:iCs/>
          <w:color w:val="4A5568"/>
          <w:sz w:val="22"/>
          <w:szCs w:val="22"/>
        </w:rPr>
      </w:pPr>
      <w:r w:rsidRPr="0077417F">
        <w:rPr>
          <w:rFonts w:ascii="Calibri" w:eastAsia="Calibri" w:hAnsi="Calibri" w:cs="Calibri"/>
          <w:b/>
          <w:bCs/>
          <w:color w:val="1A202C"/>
          <w:sz w:val="22"/>
          <w:szCs w:val="22"/>
        </w:rPr>
        <w:t xml:space="preserve">Live </w:t>
      </w:r>
      <w:r w:rsidR="00E763B0">
        <w:rPr>
          <w:rFonts w:ascii="Calibri" w:eastAsia="Calibri" w:hAnsi="Calibri" w:cs="Calibri"/>
          <w:b/>
          <w:bCs/>
          <w:color w:val="1A202C"/>
          <w:sz w:val="22"/>
          <w:szCs w:val="22"/>
        </w:rPr>
        <w:t>dashboard/repository</w:t>
      </w:r>
      <w:r w:rsidRPr="0077417F">
        <w:rPr>
          <w:rFonts w:ascii="Calibri" w:eastAsia="Calibri" w:hAnsi="Calibri" w:cs="Calibri"/>
          <w:b/>
          <w:bCs/>
          <w:color w:val="1A202C"/>
          <w:sz w:val="22"/>
          <w:szCs w:val="22"/>
        </w:rPr>
        <w:t xml:space="preserve">:  </w:t>
      </w:r>
      <w:hyperlink r:id="rId7" w:history="1">
        <w:r w:rsidR="009B0B3A" w:rsidRPr="00C35973">
          <w:rPr>
            <w:rStyle w:val="Hyperlink"/>
            <w:rFonts w:ascii="Calibri" w:eastAsia="Calibri" w:hAnsi="Calibri" w:cs="Calibri"/>
            <w:i/>
            <w:iCs/>
            <w:sz w:val="22"/>
            <w:szCs w:val="22"/>
          </w:rPr>
          <w:t>https://tru-esg-audit-pipeline.streamlit.app/</w:t>
        </w:r>
      </w:hyperlink>
    </w:p>
    <w:p w14:paraId="1E470DF3" w14:textId="77777777" w:rsidR="0077417F" w:rsidRPr="0077417F" w:rsidRDefault="0077417F" w:rsidP="00E763B0">
      <w:pPr>
        <w:spacing w:before="4" w:after="22"/>
        <w:rPr>
          <w:rFonts w:hint="eastAsia"/>
          <w:sz w:val="22"/>
          <w:szCs w:val="22"/>
        </w:rPr>
      </w:pPr>
    </w:p>
    <w:p w14:paraId="00BB22ED" w14:textId="77777777" w:rsidR="00805A8D" w:rsidRPr="0077417F" w:rsidRDefault="00EA6D22">
      <w:pPr>
        <w:spacing w:before="22" w:after="12"/>
        <w:rPr>
          <w:sz w:val="24"/>
          <w:szCs w:val="24"/>
        </w:rPr>
      </w:pPr>
      <w:r w:rsidRPr="0077417F">
        <w:rPr>
          <w:rFonts w:ascii="Calibri" w:eastAsia="Calibri" w:hAnsi="Calibri" w:cs="Calibri"/>
          <w:b/>
          <w:bCs/>
          <w:color w:val="1F5FA8"/>
          <w:sz w:val="24"/>
          <w:szCs w:val="24"/>
        </w:rPr>
        <w:t>Twelve Audit Scenarios</w:t>
      </w:r>
    </w:p>
    <w:p w14:paraId="2637806B" w14:textId="30DC2B14" w:rsidR="00805A8D" w:rsidRPr="0077417F" w:rsidRDefault="00EA6D22">
      <w:pPr>
        <w:spacing w:before="12" w:after="14"/>
      </w:pPr>
      <w:r w:rsidRPr="0077417F">
        <w:rPr>
          <w:rFonts w:ascii="Calibri" w:eastAsia="Calibri" w:hAnsi="Calibri" w:cs="Calibri"/>
          <w:i/>
          <w:iCs/>
          <w:color w:val="4A5568"/>
        </w:rPr>
        <w:t xml:space="preserve">These scenarios focus on the built-environment dimension of ESG — energy, indoor environmental quality, and </w:t>
      </w:r>
      <w:r w:rsidR="003B3C56">
        <w:rPr>
          <w:rFonts w:ascii="Calibri" w:eastAsia="Calibri" w:hAnsi="Calibri" w:cs="Calibri"/>
          <w:i/>
          <w:iCs/>
          <w:color w:val="4A5568"/>
        </w:rPr>
        <w:t xml:space="preserve">Scope 2/3 emissions </w:t>
      </w:r>
      <w:r w:rsidRPr="0077417F">
        <w:rPr>
          <w:rFonts w:ascii="Calibri" w:eastAsia="Calibri" w:hAnsi="Calibri" w:cs="Calibri"/>
          <w:i/>
          <w:iCs/>
          <w:color w:val="4A5568"/>
        </w:rPr>
        <w:t xml:space="preserve">from building operations. The architecture is domain-agnostic; the same integrity-first approach extends to other ESG data domains. All twelve run across both jurisdictions, with the engine </w:t>
      </w:r>
      <w:r w:rsidR="003B3C56">
        <w:rPr>
          <w:rFonts w:ascii="Calibri" w:eastAsia="Calibri" w:hAnsi="Calibri" w:cs="Calibri"/>
          <w:i/>
          <w:iCs/>
          <w:color w:val="4A5568"/>
        </w:rPr>
        <w:t>automatically applying the jurisdiction-appropriate standard (e.g.,</w:t>
      </w:r>
      <w:r w:rsidRPr="0077417F">
        <w:rPr>
          <w:rFonts w:ascii="Calibri" w:eastAsia="Calibri" w:hAnsi="Calibri" w:cs="Calibri"/>
          <w:i/>
          <w:iCs/>
          <w:color w:val="4A5568"/>
        </w:rPr>
        <w:t xml:space="preserve"> NABERSNZ vs. NABERS). Where the Australian asset runs on invoice-based rather than sensor evidence, that reflects a real-world data constraint — not a limitation of the pipeline.</w:t>
      </w:r>
    </w:p>
    <w:tbl>
      <w:tblPr>
        <w:tblW w:w="13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705"/>
        <w:gridCol w:w="4860"/>
      </w:tblGrid>
      <w:tr w:rsidR="00805A8D" w14:paraId="247AB37E" w14:textId="77777777" w:rsidTr="00CF3CCC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EBF4FF" w:fill="EBF4FF"/>
          </w:tcPr>
          <w:p w14:paraId="3A4643B1" w14:textId="77777777" w:rsidR="00805A8D" w:rsidRPr="00B44438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B44438">
              <w:rPr>
                <w:rFonts w:ascii="Calibri" w:eastAsia="Calibri" w:hAnsi="Calibri" w:cs="Calibri"/>
                <w:b/>
                <w:bCs/>
                <w:color w:val="1F5FA8"/>
                <w:sz w:val="22"/>
                <w:szCs w:val="22"/>
              </w:rPr>
              <w:lastRenderedPageBreak/>
              <w:t>Scenario</w:t>
            </w:r>
          </w:p>
        </w:tc>
        <w:tc>
          <w:tcPr>
            <w:tcW w:w="5705" w:type="dxa"/>
            <w:shd w:val="clear" w:color="EBF4FF" w:fill="EBF4FF"/>
          </w:tcPr>
          <w:p w14:paraId="349FB2D5" w14:textId="77777777" w:rsidR="00805A8D" w:rsidRPr="00B44438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B44438">
              <w:rPr>
                <w:rFonts w:ascii="Calibri" w:eastAsia="Calibri" w:hAnsi="Calibri" w:cs="Calibri"/>
                <w:b/>
                <w:bCs/>
                <w:color w:val="1F5FA8"/>
                <w:sz w:val="22"/>
                <w:szCs w:val="22"/>
              </w:rPr>
              <w:t>Business Risk Addressed</w:t>
            </w:r>
          </w:p>
        </w:tc>
        <w:tc>
          <w:tcPr>
            <w:tcW w:w="4860" w:type="dxa"/>
            <w:shd w:val="clear" w:color="EBF4FF" w:fill="EBF4FF"/>
          </w:tcPr>
          <w:p w14:paraId="6D9C6925" w14:textId="77777777" w:rsidR="00805A8D" w:rsidRPr="00B44438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B44438">
              <w:rPr>
                <w:rFonts w:ascii="Calibri" w:eastAsia="Calibri" w:hAnsi="Calibri" w:cs="Calibri"/>
                <w:b/>
                <w:bCs/>
                <w:color w:val="1F5FA8"/>
                <w:sz w:val="22"/>
                <w:szCs w:val="22"/>
              </w:rPr>
              <w:t>Regulatory Anchor</w:t>
            </w:r>
          </w:p>
        </w:tc>
      </w:tr>
      <w:tr w:rsidR="00805A8D" w14:paraId="7124A723" w14:textId="77777777" w:rsidTr="00CF3CCC">
        <w:tblPrEx>
          <w:tblCellMar>
            <w:top w:w="0" w:type="dxa"/>
            <w:bottom w:w="0" w:type="dxa"/>
          </w:tblCellMar>
        </w:tblPrEx>
        <w:tc>
          <w:tcPr>
            <w:tcW w:w="13765" w:type="dxa"/>
            <w:gridSpan w:val="3"/>
            <w:shd w:val="clear" w:color="auto" w:fill="1F5FA8"/>
          </w:tcPr>
          <w:p w14:paraId="1244B6C7" w14:textId="77777777" w:rsidR="00805A8D" w:rsidRPr="00CF3CCC" w:rsidRDefault="00EA6D22">
            <w:pPr>
              <w:spacing w:before="52" w:after="52"/>
              <w:ind w:lef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Data Integrity &amp; Assurance</w:t>
            </w:r>
          </w:p>
        </w:tc>
      </w:tr>
      <w:tr w:rsidR="00805A8D" w14:paraId="28CE8B07" w14:textId="77777777" w:rsidTr="00CF3CCC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262CE86C" w14:textId="77777777" w:rsidR="00805A8D" w:rsidRPr="00CF3CCC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color w:val="2D3748"/>
                <w:sz w:val="22"/>
                <w:szCs w:val="22"/>
              </w:rPr>
              <w:t>S01 — Unauthorised Device</w:t>
            </w:r>
          </w:p>
        </w:tc>
        <w:tc>
          <w:tcPr>
            <w:tcW w:w="5705" w:type="dxa"/>
            <w:shd w:val="clear" w:color="auto" w:fill="FFFFFF"/>
          </w:tcPr>
          <w:p w14:paraId="23DD30B5" w14:textId="77777777" w:rsidR="00805A8D" w:rsidRPr="00CF3CCC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color w:val="2D3748"/>
                <w:sz w:val="22"/>
                <w:szCs w:val="22"/>
              </w:rPr>
              <w:t>Rogue sensors inject false data; corrupts the entire audit baseline</w:t>
            </w:r>
          </w:p>
        </w:tc>
        <w:tc>
          <w:tcPr>
            <w:tcW w:w="4860" w:type="dxa"/>
            <w:shd w:val="clear" w:color="auto" w:fill="FFFFFF"/>
          </w:tcPr>
          <w:p w14:paraId="77A24F71" w14:textId="77777777" w:rsidR="00805A8D" w:rsidRPr="00CF3CCC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color w:val="2D3748"/>
                <w:sz w:val="22"/>
                <w:szCs w:val="22"/>
              </w:rPr>
              <w:t>ISA/IEC 62443-2-1 · ISO/IEC 27402:2023</w:t>
            </w:r>
          </w:p>
        </w:tc>
      </w:tr>
      <w:tr w:rsidR="00805A8D" w14:paraId="11767095" w14:textId="77777777" w:rsidTr="00CF3CCC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16B85174" w14:textId="77777777" w:rsidR="00805A8D" w:rsidRPr="00CF3CCC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color w:val="2D3748"/>
                <w:sz w:val="22"/>
                <w:szCs w:val="22"/>
              </w:rPr>
              <w:t>S02 — Invoice Integrity</w:t>
            </w:r>
          </w:p>
        </w:tc>
        <w:tc>
          <w:tcPr>
            <w:tcW w:w="5705" w:type="dxa"/>
            <w:shd w:val="clear" w:color="auto" w:fill="FFFFFF"/>
          </w:tcPr>
          <w:p w14:paraId="381994AD" w14:textId="77777777" w:rsidR="00805A8D" w:rsidRPr="00CF3CCC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color w:val="2D3748"/>
                <w:sz w:val="22"/>
                <w:szCs w:val="22"/>
              </w:rPr>
              <w:t>Silent invoice tampering renders ESG disclosures legally unverifiable</w:t>
            </w:r>
          </w:p>
        </w:tc>
        <w:tc>
          <w:tcPr>
            <w:tcW w:w="4860" w:type="dxa"/>
            <w:shd w:val="clear" w:color="auto" w:fill="FFFFFF"/>
          </w:tcPr>
          <w:p w14:paraId="486979E7" w14:textId="77777777" w:rsidR="00805A8D" w:rsidRPr="00CF3CCC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color w:val="2D3748"/>
                <w:sz w:val="22"/>
                <w:szCs w:val="22"/>
              </w:rPr>
              <w:t>ISO/IEC 27001:2022 · ISAE 3000</w:t>
            </w:r>
          </w:p>
        </w:tc>
      </w:tr>
      <w:tr w:rsidR="00805A8D" w14:paraId="03100EE7" w14:textId="77777777" w:rsidTr="00CF3CCC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07C9B98E" w14:textId="77777777" w:rsidR="00805A8D" w:rsidRPr="00CF3CCC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color w:val="2D3748"/>
                <w:sz w:val="22"/>
                <w:szCs w:val="22"/>
              </w:rPr>
              <w:t>S03 — Telemetry Gap</w:t>
            </w:r>
          </w:p>
        </w:tc>
        <w:tc>
          <w:tcPr>
            <w:tcW w:w="5705" w:type="dxa"/>
            <w:shd w:val="clear" w:color="auto" w:fill="FFFFFF"/>
          </w:tcPr>
          <w:p w14:paraId="60E0439E" w14:textId="77777777" w:rsidR="00805A8D" w:rsidRPr="00CF3CCC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color w:val="2D3748"/>
                <w:sz w:val="22"/>
                <w:szCs w:val="22"/>
              </w:rPr>
              <w:t>Data voids invalidate energy benchmarking and carbon calculations</w:t>
            </w:r>
          </w:p>
        </w:tc>
        <w:tc>
          <w:tcPr>
            <w:tcW w:w="4860" w:type="dxa"/>
            <w:shd w:val="clear" w:color="auto" w:fill="FFFFFF"/>
          </w:tcPr>
          <w:p w14:paraId="168EE5BC" w14:textId="77777777" w:rsidR="00805A8D" w:rsidRPr="00CF3CCC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color w:val="2D3748"/>
                <w:sz w:val="22"/>
                <w:szCs w:val="22"/>
              </w:rPr>
              <w:t>IPMVP EVO 10000-1:2022 · ISO 50001:2018</w:t>
            </w:r>
          </w:p>
        </w:tc>
      </w:tr>
      <w:tr w:rsidR="00805A8D" w14:paraId="36AD8F12" w14:textId="77777777" w:rsidTr="00CF3CCC">
        <w:tblPrEx>
          <w:tblCellMar>
            <w:top w:w="0" w:type="dxa"/>
            <w:bottom w:w="0" w:type="dxa"/>
          </w:tblCellMar>
        </w:tblPrEx>
        <w:tc>
          <w:tcPr>
            <w:tcW w:w="13765" w:type="dxa"/>
            <w:gridSpan w:val="3"/>
            <w:shd w:val="clear" w:color="auto" w:fill="1F5FA8"/>
          </w:tcPr>
          <w:p w14:paraId="1A1870D6" w14:textId="77777777" w:rsidR="00805A8D" w:rsidRPr="00CF3CCC" w:rsidRDefault="00EA6D22">
            <w:pPr>
              <w:spacing w:before="52" w:after="52"/>
              <w:ind w:lef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Energy Performance &amp; Scope 2</w:t>
            </w:r>
          </w:p>
        </w:tc>
      </w:tr>
      <w:tr w:rsidR="00805A8D" w14:paraId="7460F5F8" w14:textId="77777777" w:rsidTr="00CF3CCC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3B568167" w14:textId="77777777" w:rsidR="00805A8D" w:rsidRPr="00CF3CCC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color w:val="2D3748"/>
                <w:sz w:val="22"/>
                <w:szCs w:val="22"/>
              </w:rPr>
              <w:t>S04 — Sub-Meter Drift</w:t>
            </w:r>
          </w:p>
        </w:tc>
        <w:tc>
          <w:tcPr>
            <w:tcW w:w="5705" w:type="dxa"/>
            <w:shd w:val="clear" w:color="auto" w:fill="FFFFFF"/>
          </w:tcPr>
          <w:p w14:paraId="00AF1A6C" w14:textId="77777777" w:rsidR="00805A8D" w:rsidRPr="00CF3CCC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color w:val="2D3748"/>
                <w:sz w:val="22"/>
                <w:szCs w:val="22"/>
              </w:rPr>
              <w:t>Undetected metering gaps distort energy accounting and carbon reporting</w:t>
            </w:r>
          </w:p>
        </w:tc>
        <w:tc>
          <w:tcPr>
            <w:tcW w:w="4860" w:type="dxa"/>
            <w:shd w:val="clear" w:color="auto" w:fill="FFFFFF"/>
          </w:tcPr>
          <w:p w14:paraId="58955815" w14:textId="77777777" w:rsidR="00805A8D" w:rsidRPr="00CF3CCC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color w:val="2D3748"/>
                <w:sz w:val="22"/>
                <w:szCs w:val="22"/>
              </w:rPr>
              <w:t>LEED v4.1 Advanced Energy Metering · ASHRAE 211-2018</w:t>
            </w:r>
          </w:p>
        </w:tc>
      </w:tr>
      <w:tr w:rsidR="00805A8D" w14:paraId="74612533" w14:textId="77777777" w:rsidTr="00CF3CCC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46C91651" w14:textId="77777777" w:rsidR="00805A8D" w:rsidRPr="00CF3CCC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color w:val="2D3748"/>
                <w:sz w:val="22"/>
                <w:szCs w:val="22"/>
              </w:rPr>
              <w:t>S05 — After-Hours HVAC</w:t>
            </w:r>
          </w:p>
        </w:tc>
        <w:tc>
          <w:tcPr>
            <w:tcW w:w="5705" w:type="dxa"/>
            <w:shd w:val="clear" w:color="auto" w:fill="FFFFFF"/>
          </w:tcPr>
          <w:p w14:paraId="2B69F892" w14:textId="77777777" w:rsidR="00805A8D" w:rsidRPr="00CF3CCC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color w:val="2D3748"/>
                <w:sz w:val="22"/>
                <w:szCs w:val="22"/>
              </w:rPr>
              <w:t>Idle systems outside business hours inflate carbon footprint invisibly</w:t>
            </w:r>
          </w:p>
        </w:tc>
        <w:tc>
          <w:tcPr>
            <w:tcW w:w="4860" w:type="dxa"/>
            <w:shd w:val="clear" w:color="auto" w:fill="FFFFFF"/>
          </w:tcPr>
          <w:p w14:paraId="1B71B609" w14:textId="77777777" w:rsidR="00805A8D" w:rsidRPr="00CF3CCC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color w:val="2D3748"/>
                <w:sz w:val="22"/>
                <w:szCs w:val="22"/>
              </w:rPr>
              <w:t>ASHRAE Guideline 14-2023</w:t>
            </w:r>
          </w:p>
        </w:tc>
      </w:tr>
      <w:tr w:rsidR="00805A8D" w14:paraId="70BCCC53" w14:textId="77777777" w:rsidTr="00CF3CCC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4DDCFCA1" w14:textId="77777777" w:rsidR="00805A8D" w:rsidRPr="00CF3CCC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color w:val="2D3748"/>
                <w:sz w:val="22"/>
                <w:szCs w:val="22"/>
              </w:rPr>
              <w:t>S07 — Equipment Degradation</w:t>
            </w:r>
          </w:p>
        </w:tc>
        <w:tc>
          <w:tcPr>
            <w:tcW w:w="5705" w:type="dxa"/>
            <w:shd w:val="clear" w:color="auto" w:fill="FFFFFF"/>
          </w:tcPr>
          <w:p w14:paraId="31D483EE" w14:textId="77777777" w:rsidR="00805A8D" w:rsidRPr="00CF3CCC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color w:val="2D3748"/>
                <w:sz w:val="22"/>
                <w:szCs w:val="22"/>
              </w:rPr>
              <w:t>Gradual HVAC inefficiency undetected by point-in-time audits</w:t>
            </w:r>
          </w:p>
        </w:tc>
        <w:tc>
          <w:tcPr>
            <w:tcW w:w="4860" w:type="dxa"/>
            <w:shd w:val="clear" w:color="auto" w:fill="FFFFFF"/>
          </w:tcPr>
          <w:p w14:paraId="40D61A53" w14:textId="77777777" w:rsidR="00805A8D" w:rsidRPr="00CF3CCC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color w:val="2D3748"/>
                <w:sz w:val="22"/>
                <w:szCs w:val="22"/>
              </w:rPr>
              <w:t>ISO 50001:2018 · ISO 50002-2:2025 · DOE/LBNL EMIS</w:t>
            </w:r>
          </w:p>
        </w:tc>
      </w:tr>
      <w:tr w:rsidR="00805A8D" w14:paraId="0DC46182" w14:textId="77777777" w:rsidTr="00CF3CCC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15F774C1" w14:textId="77777777" w:rsidR="00805A8D" w:rsidRPr="00CF3CCC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color w:val="2D3748"/>
                <w:sz w:val="22"/>
                <w:szCs w:val="22"/>
              </w:rPr>
              <w:t>S10 — NABERSNZ Compliance</w:t>
            </w:r>
          </w:p>
        </w:tc>
        <w:tc>
          <w:tcPr>
            <w:tcW w:w="5705" w:type="dxa"/>
            <w:shd w:val="clear" w:color="auto" w:fill="FFFFFF"/>
          </w:tcPr>
          <w:p w14:paraId="5146D978" w14:textId="77777777" w:rsidR="00805A8D" w:rsidRPr="00CF3CCC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color w:val="2D3748"/>
                <w:sz w:val="22"/>
                <w:szCs w:val="22"/>
              </w:rPr>
              <w:t>Energy overrun triggers mandatory re-rating; certification at risk</w:t>
            </w:r>
          </w:p>
        </w:tc>
        <w:tc>
          <w:tcPr>
            <w:tcW w:w="4860" w:type="dxa"/>
            <w:shd w:val="clear" w:color="auto" w:fill="FFFFFF"/>
          </w:tcPr>
          <w:p w14:paraId="2611A3C4" w14:textId="77777777" w:rsidR="00805A8D" w:rsidRPr="00CF3CCC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color w:val="2D3748"/>
                <w:sz w:val="22"/>
                <w:szCs w:val="22"/>
              </w:rPr>
              <w:t>NABERSNZ Rules v1.2 · AS/NZS 3598.1:2014</w:t>
            </w:r>
          </w:p>
        </w:tc>
      </w:tr>
      <w:tr w:rsidR="00805A8D" w14:paraId="69A165B8" w14:textId="77777777" w:rsidTr="00CF3CCC">
        <w:tblPrEx>
          <w:tblCellMar>
            <w:top w:w="0" w:type="dxa"/>
            <w:bottom w:w="0" w:type="dxa"/>
          </w:tblCellMar>
        </w:tblPrEx>
        <w:tc>
          <w:tcPr>
            <w:tcW w:w="13765" w:type="dxa"/>
            <w:gridSpan w:val="3"/>
            <w:shd w:val="clear" w:color="auto" w:fill="1F5FA8"/>
          </w:tcPr>
          <w:p w14:paraId="41DD80C2" w14:textId="77777777" w:rsidR="00805A8D" w:rsidRPr="00CF3CCC" w:rsidRDefault="00EA6D22">
            <w:pPr>
              <w:spacing w:before="52" w:after="52"/>
              <w:ind w:lef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Indoor Environment Quality (Social)</w:t>
            </w:r>
          </w:p>
        </w:tc>
      </w:tr>
      <w:tr w:rsidR="00805A8D" w14:paraId="530B2B4D" w14:textId="77777777" w:rsidTr="00CF3CCC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6FC83C7A" w14:textId="77777777" w:rsidR="00805A8D" w:rsidRPr="00CF3CCC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color w:val="2D3748"/>
                <w:sz w:val="22"/>
                <w:szCs w:val="22"/>
              </w:rPr>
              <w:t>S06 — IEQ Greenwashing</w:t>
            </w:r>
          </w:p>
        </w:tc>
        <w:tc>
          <w:tcPr>
            <w:tcW w:w="5705" w:type="dxa"/>
            <w:shd w:val="clear" w:color="auto" w:fill="FFFFFF"/>
          </w:tcPr>
          <w:p w14:paraId="6FC4FF17" w14:textId="77777777" w:rsidR="00805A8D" w:rsidRPr="00CF3CCC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color w:val="2D3748"/>
                <w:sz w:val="22"/>
                <w:szCs w:val="22"/>
              </w:rPr>
              <w:t>CO₂ breaches contradict green certification claims — regulatory violation</w:t>
            </w:r>
          </w:p>
        </w:tc>
        <w:tc>
          <w:tcPr>
            <w:tcW w:w="4860" w:type="dxa"/>
            <w:shd w:val="clear" w:color="auto" w:fill="FFFFFF"/>
          </w:tcPr>
          <w:p w14:paraId="737B0F69" w14:textId="77777777" w:rsidR="00805A8D" w:rsidRPr="00CF3CCC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color w:val="2D3748"/>
                <w:sz w:val="22"/>
                <w:szCs w:val="22"/>
              </w:rPr>
              <w:t>NZS 4303:1990 (MBIE) · LEED v5 O+M</w:t>
            </w:r>
          </w:p>
        </w:tc>
      </w:tr>
      <w:tr w:rsidR="00805A8D" w14:paraId="7981A7A2" w14:textId="77777777" w:rsidTr="00CF3CCC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6E89020F" w14:textId="77777777" w:rsidR="00805A8D" w:rsidRPr="00CF3CCC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color w:val="2D3748"/>
                <w:sz w:val="22"/>
                <w:szCs w:val="22"/>
              </w:rPr>
              <w:t>S08 — High-Demand IEQ</w:t>
            </w:r>
          </w:p>
        </w:tc>
        <w:tc>
          <w:tcPr>
            <w:tcW w:w="5705" w:type="dxa"/>
            <w:shd w:val="clear" w:color="auto" w:fill="FFFFFF"/>
          </w:tcPr>
          <w:p w14:paraId="1920F888" w14:textId="77777777" w:rsidR="00805A8D" w:rsidRPr="00CF3CCC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color w:val="2D3748"/>
                <w:sz w:val="22"/>
                <w:szCs w:val="22"/>
              </w:rPr>
              <w:t>Poor IEQ in high-demand zones undermines the productivity ROI of premium space</w:t>
            </w:r>
          </w:p>
        </w:tc>
        <w:tc>
          <w:tcPr>
            <w:tcW w:w="4860" w:type="dxa"/>
            <w:shd w:val="clear" w:color="auto" w:fill="FFFFFF"/>
          </w:tcPr>
          <w:p w14:paraId="20EB2F48" w14:textId="77777777" w:rsidR="00805A8D" w:rsidRPr="00CF3CCC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color w:val="2D3748"/>
                <w:sz w:val="22"/>
                <w:szCs w:val="22"/>
              </w:rPr>
              <w:t>WELL Building Standard v2 · Allen et al. 2019 (Harvard)</w:t>
            </w:r>
          </w:p>
        </w:tc>
      </w:tr>
      <w:tr w:rsidR="00805A8D" w14:paraId="35A5B294" w14:textId="77777777" w:rsidTr="00CF3CCC">
        <w:tblPrEx>
          <w:tblCellMar>
            <w:top w:w="0" w:type="dxa"/>
            <w:bottom w:w="0" w:type="dxa"/>
          </w:tblCellMar>
        </w:tblPrEx>
        <w:tc>
          <w:tcPr>
            <w:tcW w:w="13765" w:type="dxa"/>
            <w:gridSpan w:val="3"/>
            <w:shd w:val="clear" w:color="auto" w:fill="1F5FA8"/>
          </w:tcPr>
          <w:p w14:paraId="7E08E0D1" w14:textId="77777777" w:rsidR="00805A8D" w:rsidRPr="00CF3CCC" w:rsidRDefault="00EA6D22">
            <w:pPr>
              <w:spacing w:before="52" w:after="52"/>
              <w:ind w:lef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Scope 3 &amp; Value Chain</w:t>
            </w:r>
          </w:p>
        </w:tc>
      </w:tr>
      <w:tr w:rsidR="00805A8D" w14:paraId="2EF75F0F" w14:textId="77777777" w:rsidTr="00CF3CCC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30C0ACF6" w14:textId="77777777" w:rsidR="00805A8D" w:rsidRPr="00CF3CCC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color w:val="2D3748"/>
                <w:sz w:val="22"/>
                <w:szCs w:val="22"/>
              </w:rPr>
              <w:t>S09 — Invoice vs. Benchmark</w:t>
            </w:r>
          </w:p>
        </w:tc>
        <w:tc>
          <w:tcPr>
            <w:tcW w:w="5705" w:type="dxa"/>
            <w:shd w:val="clear" w:color="auto" w:fill="FFFFFF"/>
          </w:tcPr>
          <w:p w14:paraId="6AB820FF" w14:textId="77777777" w:rsidR="00805A8D" w:rsidRPr="00CF3CCC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color w:val="2D3748"/>
                <w:sz w:val="22"/>
                <w:szCs w:val="22"/>
              </w:rPr>
              <w:t>Billed consumption deviates from expected intensity — billing fraud risk</w:t>
            </w:r>
          </w:p>
        </w:tc>
        <w:tc>
          <w:tcPr>
            <w:tcW w:w="4860" w:type="dxa"/>
            <w:shd w:val="clear" w:color="auto" w:fill="FFFFFF"/>
          </w:tcPr>
          <w:p w14:paraId="34D6C95A" w14:textId="77777777" w:rsidR="00805A8D" w:rsidRPr="00CF3CCC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color w:val="2D3748"/>
                <w:sz w:val="22"/>
                <w:szCs w:val="22"/>
              </w:rPr>
              <w:t>NABERS FY2020 · IPMVP Option C · ISAE 3000</w:t>
            </w:r>
          </w:p>
        </w:tc>
      </w:tr>
      <w:tr w:rsidR="00805A8D" w14:paraId="4341B2E3" w14:textId="77777777" w:rsidTr="00CF3CCC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6306825C" w14:textId="77777777" w:rsidR="00805A8D" w:rsidRPr="00CF3CCC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color w:val="2D3748"/>
                <w:sz w:val="22"/>
                <w:szCs w:val="22"/>
              </w:rPr>
              <w:t>S11 — Scope 3 Travel</w:t>
            </w:r>
          </w:p>
        </w:tc>
        <w:tc>
          <w:tcPr>
            <w:tcW w:w="5705" w:type="dxa"/>
            <w:shd w:val="clear" w:color="auto" w:fill="FFFFFF"/>
          </w:tcPr>
          <w:p w14:paraId="0BC4014E" w14:textId="77777777" w:rsidR="00805A8D" w:rsidRPr="00CF3CCC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color w:val="2D3748"/>
                <w:sz w:val="22"/>
                <w:szCs w:val="22"/>
              </w:rPr>
              <w:t>Short-haul business class inflates Scope 3 emissions and disclosure risk</w:t>
            </w:r>
          </w:p>
        </w:tc>
        <w:tc>
          <w:tcPr>
            <w:tcW w:w="4860" w:type="dxa"/>
            <w:shd w:val="clear" w:color="auto" w:fill="FFFFFF"/>
          </w:tcPr>
          <w:p w14:paraId="7972C6CE" w14:textId="77777777" w:rsidR="00805A8D" w:rsidRPr="00CF3CCC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color w:val="2D3748"/>
                <w:sz w:val="22"/>
                <w:szCs w:val="22"/>
              </w:rPr>
              <w:t>GHG Protocol Scope 3 Cat.6 · ISO 14083:2023</w:t>
            </w:r>
          </w:p>
        </w:tc>
      </w:tr>
      <w:tr w:rsidR="00805A8D" w14:paraId="0F5C4FA1" w14:textId="77777777" w:rsidTr="00CF3CCC">
        <w:tblPrEx>
          <w:tblCellMar>
            <w:top w:w="0" w:type="dxa"/>
            <w:bottom w:w="0" w:type="dxa"/>
          </w:tblCellMar>
        </w:tblPrEx>
        <w:tc>
          <w:tcPr>
            <w:tcW w:w="13765" w:type="dxa"/>
            <w:gridSpan w:val="3"/>
            <w:shd w:val="clear" w:color="auto" w:fill="1F5FA8"/>
          </w:tcPr>
          <w:p w14:paraId="4A789797" w14:textId="77777777" w:rsidR="00805A8D" w:rsidRPr="00CF3CCC" w:rsidRDefault="00EA6D22">
            <w:pPr>
              <w:spacing w:before="52" w:after="52"/>
              <w:ind w:lef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Waste &amp; Circularity</w:t>
            </w:r>
          </w:p>
        </w:tc>
      </w:tr>
      <w:tr w:rsidR="00805A8D" w14:paraId="778CBE20" w14:textId="77777777" w:rsidTr="00CF3CCC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636789CF" w14:textId="77777777" w:rsidR="00805A8D" w:rsidRPr="00CF3CCC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color w:val="2D3748"/>
                <w:sz w:val="22"/>
                <w:szCs w:val="22"/>
              </w:rPr>
              <w:t>S12 — Hazardous Waste</w:t>
            </w:r>
          </w:p>
        </w:tc>
        <w:tc>
          <w:tcPr>
            <w:tcW w:w="5705" w:type="dxa"/>
            <w:shd w:val="clear" w:color="auto" w:fill="FFFFFF"/>
          </w:tcPr>
          <w:p w14:paraId="161EBE7E" w14:textId="77777777" w:rsidR="00805A8D" w:rsidRPr="00CF3CCC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color w:val="2D3748"/>
                <w:sz w:val="22"/>
                <w:szCs w:val="22"/>
              </w:rPr>
              <w:t>Missing disposal certificates leave HSNO / Basel compliance unverifiable</w:t>
            </w:r>
          </w:p>
        </w:tc>
        <w:tc>
          <w:tcPr>
            <w:tcW w:w="4860" w:type="dxa"/>
            <w:shd w:val="clear" w:color="auto" w:fill="FFFFFF"/>
          </w:tcPr>
          <w:p w14:paraId="347E97A7" w14:textId="77777777" w:rsidR="00805A8D" w:rsidRPr="00CF3CCC" w:rsidRDefault="00EA6D22">
            <w:pPr>
              <w:spacing w:before="62" w:after="62"/>
              <w:ind w:left="80" w:right="80"/>
              <w:rPr>
                <w:sz w:val="22"/>
                <w:szCs w:val="22"/>
              </w:rPr>
            </w:pPr>
            <w:r w:rsidRPr="00CF3CCC">
              <w:rPr>
                <w:rFonts w:ascii="Calibri" w:eastAsia="Calibri" w:hAnsi="Calibri" w:cs="Calibri"/>
                <w:color w:val="2D3748"/>
                <w:sz w:val="22"/>
                <w:szCs w:val="22"/>
              </w:rPr>
              <w:t>HSNO Act 1996 · GRI 306:2020 · Basel Convention</w:t>
            </w:r>
          </w:p>
        </w:tc>
      </w:tr>
    </w:tbl>
    <w:p w14:paraId="6D66D75F" w14:textId="448B0F76" w:rsidR="00805A8D" w:rsidRPr="002E0B56" w:rsidRDefault="00EA6D22">
      <w:pPr>
        <w:spacing w:before="12"/>
        <w:rPr>
          <w:rFonts w:hint="eastAsia"/>
          <w:sz w:val="18"/>
          <w:szCs w:val="18"/>
        </w:rPr>
      </w:pPr>
      <w:r w:rsidRPr="0077417F">
        <w:rPr>
          <w:rFonts w:ascii="Calibri" w:eastAsia="Calibri" w:hAnsi="Calibri" w:cs="Calibri"/>
          <w:i/>
          <w:iCs/>
          <w:color w:val="4A5568"/>
          <w:sz w:val="18"/>
          <w:szCs w:val="18"/>
        </w:rPr>
        <w:t xml:space="preserve">Output: </w:t>
      </w:r>
      <w:proofErr w:type="spellStart"/>
      <w:r w:rsidRPr="0077417F">
        <w:rPr>
          <w:rFonts w:ascii="Calibri" w:eastAsia="Calibri" w:hAnsi="Calibri" w:cs="Calibri"/>
          <w:i/>
          <w:iCs/>
          <w:color w:val="4A5568"/>
          <w:sz w:val="18"/>
          <w:szCs w:val="18"/>
        </w:rPr>
        <w:t>fact_audit_events</w:t>
      </w:r>
      <w:proofErr w:type="spellEnd"/>
      <w:r w:rsidRPr="0077417F">
        <w:rPr>
          <w:rFonts w:ascii="Calibri" w:eastAsia="Calibri" w:hAnsi="Calibri" w:cs="Calibri"/>
          <w:i/>
          <w:iCs/>
          <w:color w:val="4A5568"/>
          <w:sz w:val="18"/>
          <w:szCs w:val="18"/>
        </w:rPr>
        <w:t xml:space="preserve"> · </w:t>
      </w:r>
      <w:proofErr w:type="spellStart"/>
      <w:r w:rsidRPr="0077417F">
        <w:rPr>
          <w:rFonts w:ascii="Calibri" w:eastAsia="Calibri" w:hAnsi="Calibri" w:cs="Calibri"/>
          <w:i/>
          <w:iCs/>
          <w:color w:val="4A5568"/>
          <w:sz w:val="18"/>
          <w:szCs w:val="18"/>
        </w:rPr>
        <w:t>Streamlit</w:t>
      </w:r>
      <w:proofErr w:type="spellEnd"/>
      <w:r w:rsidRPr="0077417F">
        <w:rPr>
          <w:rFonts w:ascii="Calibri" w:eastAsia="Calibri" w:hAnsi="Calibri" w:cs="Calibri"/>
          <w:i/>
          <w:iCs/>
          <w:color w:val="4A5568"/>
          <w:sz w:val="18"/>
          <w:szCs w:val="18"/>
        </w:rPr>
        <w:t xml:space="preserve"> dashboard  ·  Talulla </w:t>
      </w:r>
      <w:proofErr w:type="spellStart"/>
      <w:r w:rsidRPr="0077417F">
        <w:rPr>
          <w:rFonts w:ascii="Calibri" w:eastAsia="Calibri" w:hAnsi="Calibri" w:cs="Calibri"/>
          <w:i/>
          <w:iCs/>
          <w:color w:val="4A5568"/>
          <w:sz w:val="18"/>
          <w:szCs w:val="18"/>
        </w:rPr>
        <w:t>Lu,</w:t>
      </w:r>
      <w:proofErr w:type="spellEnd"/>
      <w:r w:rsidRPr="0077417F">
        <w:rPr>
          <w:rFonts w:ascii="Calibri" w:eastAsia="Calibri" w:hAnsi="Calibri" w:cs="Calibri"/>
          <w:i/>
          <w:iCs/>
          <w:color w:val="4A5568"/>
          <w:sz w:val="18"/>
          <w:szCs w:val="18"/>
        </w:rPr>
        <w:t xml:space="preserve"> </w:t>
      </w:r>
      <w:proofErr w:type="spellStart"/>
      <w:r w:rsidRPr="0077417F">
        <w:rPr>
          <w:rFonts w:ascii="Calibri" w:eastAsia="Calibri" w:hAnsi="Calibri" w:cs="Calibri"/>
          <w:i/>
          <w:iCs/>
          <w:color w:val="4A5568"/>
          <w:sz w:val="18"/>
          <w:szCs w:val="18"/>
        </w:rPr>
        <w:t>MBusAnalytics</w:t>
      </w:r>
      <w:proofErr w:type="spellEnd"/>
      <w:r w:rsidRPr="0077417F">
        <w:rPr>
          <w:rFonts w:ascii="Calibri" w:eastAsia="Calibri" w:hAnsi="Calibri" w:cs="Calibri"/>
          <w:i/>
          <w:iCs/>
          <w:color w:val="4A5568"/>
          <w:sz w:val="18"/>
          <w:szCs w:val="18"/>
        </w:rPr>
        <w:t>, University of Waikato 2026  ·  7 years APAC green building &amp;</w:t>
      </w:r>
      <w:r w:rsidR="002E0B56">
        <w:rPr>
          <w:rFonts w:ascii="Calibri" w:hAnsi="Calibri" w:cs="Calibri" w:hint="eastAsia"/>
          <w:i/>
          <w:iCs/>
          <w:color w:val="4A5568"/>
          <w:sz w:val="18"/>
          <w:szCs w:val="18"/>
        </w:rPr>
        <w:t xml:space="preserve"> </w:t>
      </w:r>
      <w:r w:rsidR="002E0B56">
        <w:rPr>
          <w:rFonts w:ascii="Calibri" w:hAnsi="Calibri" w:cs="Calibri"/>
          <w:i/>
          <w:iCs/>
          <w:color w:val="4A5568"/>
          <w:sz w:val="18"/>
          <w:szCs w:val="18"/>
        </w:rPr>
        <w:t>environmental</w:t>
      </w:r>
      <w:r w:rsidR="002E0B56">
        <w:rPr>
          <w:rFonts w:ascii="Calibri" w:hAnsi="Calibri" w:cs="Calibri" w:hint="eastAsia"/>
          <w:i/>
          <w:iCs/>
          <w:color w:val="4A5568"/>
          <w:sz w:val="18"/>
          <w:szCs w:val="18"/>
        </w:rPr>
        <w:t xml:space="preserve"> </w:t>
      </w:r>
      <w:r w:rsidR="002E0B56">
        <w:rPr>
          <w:rFonts w:ascii="Calibri" w:hAnsi="Calibri" w:cs="Calibri"/>
          <w:i/>
          <w:iCs/>
          <w:color w:val="4A5568"/>
          <w:sz w:val="18"/>
          <w:szCs w:val="18"/>
        </w:rPr>
        <w:t>monitoring</w:t>
      </w:r>
    </w:p>
    <w:sectPr w:rsidR="00805A8D" w:rsidRPr="002E0B56">
      <w:pgSz w:w="15840" w:h="12240"/>
      <w:pgMar w:top="780" w:right="1080" w:bottom="7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1BB92" w14:textId="77777777" w:rsidR="00EA6D22" w:rsidRDefault="00EA6D22" w:rsidP="002E458B">
      <w:r>
        <w:separator/>
      </w:r>
    </w:p>
  </w:endnote>
  <w:endnote w:type="continuationSeparator" w:id="0">
    <w:p w14:paraId="30FEEA46" w14:textId="77777777" w:rsidR="00EA6D22" w:rsidRDefault="00EA6D22" w:rsidP="002E45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0CBE1" w14:textId="77777777" w:rsidR="00EA6D22" w:rsidRDefault="00EA6D22" w:rsidP="002E458B">
      <w:r>
        <w:separator/>
      </w:r>
    </w:p>
  </w:footnote>
  <w:footnote w:type="continuationSeparator" w:id="0">
    <w:p w14:paraId="4E3C6493" w14:textId="77777777" w:rsidR="00EA6D22" w:rsidRDefault="00EA6D22" w:rsidP="002E45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8B7EAE"/>
    <w:multiLevelType w:val="hybridMultilevel"/>
    <w:tmpl w:val="4DAA08AC"/>
    <w:lvl w:ilvl="0" w:tplc="F5A44728">
      <w:start w:val="1"/>
      <w:numFmt w:val="bullet"/>
      <w:lvlText w:val="●"/>
      <w:lvlJc w:val="left"/>
      <w:pPr>
        <w:ind w:left="720" w:hanging="360"/>
      </w:pPr>
    </w:lvl>
    <w:lvl w:ilvl="1" w:tplc="2CE261A8">
      <w:start w:val="1"/>
      <w:numFmt w:val="bullet"/>
      <w:lvlText w:val="○"/>
      <w:lvlJc w:val="left"/>
      <w:pPr>
        <w:ind w:left="1440" w:hanging="360"/>
      </w:pPr>
    </w:lvl>
    <w:lvl w:ilvl="2" w:tplc="F1E0C18C">
      <w:start w:val="1"/>
      <w:numFmt w:val="bullet"/>
      <w:lvlText w:val="■"/>
      <w:lvlJc w:val="left"/>
      <w:pPr>
        <w:ind w:left="2160" w:hanging="360"/>
      </w:pPr>
    </w:lvl>
    <w:lvl w:ilvl="3" w:tplc="A010F70C">
      <w:start w:val="1"/>
      <w:numFmt w:val="bullet"/>
      <w:lvlText w:val="●"/>
      <w:lvlJc w:val="left"/>
      <w:pPr>
        <w:ind w:left="2880" w:hanging="360"/>
      </w:pPr>
    </w:lvl>
    <w:lvl w:ilvl="4" w:tplc="21063B00">
      <w:start w:val="1"/>
      <w:numFmt w:val="bullet"/>
      <w:lvlText w:val="○"/>
      <w:lvlJc w:val="left"/>
      <w:pPr>
        <w:ind w:left="3600" w:hanging="360"/>
      </w:pPr>
    </w:lvl>
    <w:lvl w:ilvl="5" w:tplc="F35EEFCA">
      <w:start w:val="1"/>
      <w:numFmt w:val="bullet"/>
      <w:lvlText w:val="■"/>
      <w:lvlJc w:val="left"/>
      <w:pPr>
        <w:ind w:left="4320" w:hanging="360"/>
      </w:pPr>
    </w:lvl>
    <w:lvl w:ilvl="6" w:tplc="DF16F3FE">
      <w:start w:val="1"/>
      <w:numFmt w:val="bullet"/>
      <w:lvlText w:val="●"/>
      <w:lvlJc w:val="left"/>
      <w:pPr>
        <w:ind w:left="5040" w:hanging="360"/>
      </w:pPr>
    </w:lvl>
    <w:lvl w:ilvl="7" w:tplc="0D9207D2">
      <w:start w:val="1"/>
      <w:numFmt w:val="bullet"/>
      <w:lvlText w:val="●"/>
      <w:lvlJc w:val="left"/>
      <w:pPr>
        <w:ind w:left="5760" w:hanging="360"/>
      </w:pPr>
    </w:lvl>
    <w:lvl w:ilvl="8" w:tplc="6002B554">
      <w:start w:val="1"/>
      <w:numFmt w:val="bullet"/>
      <w:lvlText w:val="●"/>
      <w:lvlJc w:val="left"/>
      <w:pPr>
        <w:ind w:left="6480" w:hanging="360"/>
      </w:pPr>
    </w:lvl>
  </w:abstractNum>
  <w:num w:numId="1" w16cid:durableId="4704409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A8D"/>
    <w:rsid w:val="00244A92"/>
    <w:rsid w:val="002E0B56"/>
    <w:rsid w:val="002E458B"/>
    <w:rsid w:val="003342B3"/>
    <w:rsid w:val="003B3C56"/>
    <w:rsid w:val="0077417F"/>
    <w:rsid w:val="00805A8D"/>
    <w:rsid w:val="009B0B3A"/>
    <w:rsid w:val="00A349C0"/>
    <w:rsid w:val="00B44438"/>
    <w:rsid w:val="00C239BD"/>
    <w:rsid w:val="00CF3CCC"/>
    <w:rsid w:val="00E763B0"/>
    <w:rsid w:val="00EA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42E42D"/>
  <w15:docId w15:val="{251DC9C0-127F-44BA-A4E2-108A84960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NZ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763B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E458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458B"/>
  </w:style>
  <w:style w:type="paragraph" w:styleId="Footer">
    <w:name w:val="footer"/>
    <w:basedOn w:val="Normal"/>
    <w:link w:val="FooterChar"/>
    <w:uiPriority w:val="99"/>
    <w:unhideWhenUsed/>
    <w:rsid w:val="002E458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45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ru-esg-audit-pipeline.streamlit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792</Words>
  <Characters>4517</Characters>
  <Application>Microsoft Office Word</Application>
  <DocSecurity>0</DocSecurity>
  <Lines>37</Lines>
  <Paragraphs>10</Paragraphs>
  <ScaleCrop>false</ScaleCrop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LU, Yao (Student)</cp:lastModifiedBy>
  <cp:revision>11</cp:revision>
  <dcterms:created xsi:type="dcterms:W3CDTF">2026-07-12T06:24:00Z</dcterms:created>
  <dcterms:modified xsi:type="dcterms:W3CDTF">2026-07-12T09:39:00Z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045f0bd1-41be-46ec-8dd4-ebe743d3187d</vt:lpwstr>
  </property>
</Properties>
</file>