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4EFE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66690" cy="155257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3ED41461">
      <w:pPr>
        <w:jc w:val="center"/>
        <w:rPr>
          <w:rFonts w:hint="default" w:ascii="Times New Roman" w:hAnsi="Times New Roman" w:eastAsia="宋体" w:cs="Times New Roman"/>
          <w:bCs/>
          <w:sz w:val="24"/>
          <w:szCs w:val="24"/>
        </w:rPr>
      </w:pP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5</w:t>
      </w: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6</w:t>
      </w:r>
      <w:r>
        <w:rPr>
          <w:rFonts w:hint="default" w:ascii="Times New Roman" w:hAnsi="Times New Roman" w:eastAsia="宋体" w:cs="Times New Roman"/>
          <w:bCs/>
          <w:sz w:val="44"/>
          <w:szCs w:val="44"/>
        </w:rPr>
        <w:t>学年 第</w:t>
      </w:r>
      <w:r>
        <w:rPr>
          <w:rFonts w:hint="default" w:ascii="Times New Roman" w:hAnsi="Times New Roman" w:eastAsia="宋体" w:cs="Times New Roman"/>
          <w:bCs/>
          <w:sz w:val="44"/>
          <w:szCs w:val="44"/>
          <w:lang w:val="en-US" w:eastAsia="zh-CN"/>
        </w:rPr>
        <w:t>1</w:t>
      </w:r>
      <w:r>
        <w:rPr>
          <w:rFonts w:hint="default" w:ascii="Times New Roman" w:hAnsi="Times New Roman" w:eastAsia="宋体" w:cs="Times New Roman"/>
          <w:bCs/>
          <w:sz w:val="44"/>
          <w:szCs w:val="44"/>
        </w:rPr>
        <w:t>学期）</w:t>
      </w:r>
    </w:p>
    <w:p w14:paraId="7236AE9D">
      <w:pPr>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  </w:t>
      </w:r>
    </w:p>
    <w:p w14:paraId="50AE3D16">
      <w:pPr>
        <w:wordWrap w:val="0"/>
        <w:ind w:firstLine="1084" w:firstLineChars="450"/>
        <w:jc w:val="center"/>
        <w:rPr>
          <w:rFonts w:hint="default" w:ascii="Times New Roman" w:hAnsi="Times New Roman" w:eastAsia="宋体" w:cs="Times New Roman"/>
          <w:b/>
          <w:bCs/>
          <w:sz w:val="24"/>
          <w:szCs w:val="24"/>
        </w:rPr>
      </w:pPr>
    </w:p>
    <w:p w14:paraId="05A8F92A">
      <w:pPr>
        <w:wordWrap w:val="0"/>
        <w:jc w:val="center"/>
        <w:rPr>
          <w:rFonts w:hint="default" w:ascii="Times New Roman" w:hAnsi="Times New Roman" w:eastAsia="宋体" w:cs="Times New Roman"/>
          <w:bCs/>
          <w:sz w:val="24"/>
          <w:szCs w:val="24"/>
        </w:rPr>
      </w:pPr>
      <w:r>
        <w:rPr>
          <w:rFonts w:hint="default" w:ascii="Times New Roman" w:hAnsi="Times New Roman" w:eastAsia="宋体" w:cs="Times New Roman"/>
          <w:bCs/>
          <w:sz w:val="44"/>
          <w:szCs w:val="44"/>
        </w:rPr>
        <w:t>《工程与</w:t>
      </w:r>
      <w:r>
        <w:rPr>
          <w:rFonts w:hint="default" w:ascii="Times New Roman" w:hAnsi="Times New Roman" w:eastAsia="宋体" w:cs="Times New Roman"/>
          <w:bCs/>
          <w:sz w:val="44"/>
          <w:szCs w:val="44"/>
          <w:lang w:val="en-US" w:eastAsia="zh-CN"/>
        </w:rPr>
        <w:t>社会</w:t>
      </w:r>
      <w:r>
        <w:rPr>
          <w:rFonts w:hint="default" w:ascii="Times New Roman" w:hAnsi="Times New Roman" w:eastAsia="宋体" w:cs="Times New Roman"/>
          <w:bCs/>
          <w:sz w:val="44"/>
          <w:szCs w:val="44"/>
        </w:rPr>
        <w:t>》课程论文</w:t>
      </w:r>
    </w:p>
    <w:p w14:paraId="75AB95BB">
      <w:pPr>
        <w:wordWrap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p>
    <w:p w14:paraId="001BD567">
      <w:pPr>
        <w:wordWrap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p>
    <w:p w14:paraId="258D35ED">
      <w:pPr>
        <w:wordWrap w:val="0"/>
        <w:jc w:val="left"/>
        <w:rPr>
          <w:rFonts w:hint="default" w:ascii="Times New Roman" w:hAnsi="Times New Roman" w:eastAsia="宋体" w:cs="Times New Roman"/>
          <w:b/>
          <w:bCs/>
          <w:sz w:val="24"/>
          <w:szCs w:val="24"/>
        </w:rPr>
      </w:pPr>
    </w:p>
    <w:p w14:paraId="5DAB32B5">
      <w:pPr>
        <w:wordWrap w:val="0"/>
        <w:jc w:val="left"/>
        <w:rPr>
          <w:rFonts w:hint="default" w:ascii="Times New Roman" w:hAnsi="Times New Roman" w:eastAsia="宋体" w:cs="Times New Roman"/>
          <w:b/>
          <w:bCs/>
          <w:sz w:val="24"/>
          <w:szCs w:val="24"/>
        </w:rPr>
      </w:pPr>
    </w:p>
    <w:p w14:paraId="2D761EFC">
      <w:pPr>
        <w:wordWrap w:val="0"/>
        <w:jc w:val="left"/>
        <w:rPr>
          <w:rFonts w:hint="default" w:ascii="Times New Roman" w:hAnsi="Times New Roman" w:eastAsia="宋体" w:cs="Times New Roman"/>
          <w:b/>
          <w:bCs/>
          <w:sz w:val="24"/>
          <w:szCs w:val="24"/>
        </w:rPr>
      </w:pPr>
    </w:p>
    <w:p w14:paraId="41D8F88C">
      <w:pPr>
        <w:tabs>
          <w:tab w:val="left" w:pos="1080"/>
        </w:tabs>
        <w:wordWrap w:val="0"/>
        <w:ind w:firstLine="1807" w:firstLineChars="600"/>
        <w:jc w:val="left"/>
        <w:rPr>
          <w:rFonts w:hint="default" w:ascii="Times New Roman" w:hAnsi="Times New Roman" w:eastAsia="宋体" w:cs="Times New Roman"/>
          <w:b/>
          <w:bCs/>
          <w:sz w:val="30"/>
          <w:szCs w:val="30"/>
          <w:u w:val="single"/>
          <w:lang w:val="en-US" w:eastAsia="zh-CN"/>
        </w:rPr>
      </w:pPr>
      <w:r>
        <w:rPr>
          <w:rFonts w:hint="default" w:ascii="Times New Roman" w:hAnsi="Times New Roman" w:eastAsia="宋体" w:cs="Times New Roman"/>
          <w:b/>
          <w:bCs/>
          <w:sz w:val="30"/>
          <w:szCs w:val="30"/>
        </w:rPr>
        <w:t>题    目</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生命伦理的算法化：医疗AI </w:t>
      </w:r>
    </w:p>
    <w:p w14:paraId="2FDF134F">
      <w:pPr>
        <w:tabs>
          <w:tab w:val="left" w:pos="1080"/>
        </w:tabs>
        <w:wordWrap w:val="0"/>
        <w:ind w:left="3317" w:leftChars="1136" w:hanging="931" w:hangingChars="309"/>
        <w:jc w:val="left"/>
        <w:rPr>
          <w:rFonts w:hint="default" w:ascii="Times New Roman" w:hAnsi="Times New Roman" w:eastAsia="宋体" w:cs="Times New Roman"/>
          <w:b/>
          <w:bCs/>
          <w:sz w:val="30"/>
          <w:szCs w:val="30"/>
          <w:u w:val="single"/>
          <w:lang w:val="en-US" w:eastAsia="zh-CN"/>
        </w:rPr>
      </w:pPr>
      <w:r>
        <w:rPr>
          <w:rFonts w:hint="default" w:ascii="Times New Roman" w:hAnsi="Times New Roman" w:eastAsia="宋体" w:cs="Times New Roman"/>
          <w:b/>
          <w:bCs/>
          <w:sz w:val="30"/>
          <w:szCs w:val="30"/>
          <w:u w:val="single"/>
          <w:lang w:val="en-US" w:eastAsia="zh-CN"/>
        </w:rPr>
        <w:t xml:space="preserve">决策系统中的医生责任与机器边界 </w:t>
      </w:r>
    </w:p>
    <w:p w14:paraId="58D11B2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所在学院</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计算机学院</w:t>
      </w:r>
      <w:r>
        <w:rPr>
          <w:rFonts w:hint="default" w:ascii="Times New Roman" w:hAnsi="Times New Roman" w:eastAsia="宋体" w:cs="Times New Roman"/>
          <w:b/>
          <w:bCs/>
          <w:sz w:val="30"/>
          <w:szCs w:val="30"/>
          <w:u w:val="single"/>
        </w:rPr>
        <w:t xml:space="preserve">              </w:t>
      </w:r>
    </w:p>
    <w:p w14:paraId="75CB1F4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专    业</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计算机科学与技术</w:t>
      </w:r>
      <w:r>
        <w:rPr>
          <w:rFonts w:hint="default" w:ascii="Times New Roman" w:hAnsi="Times New Roman" w:eastAsia="宋体" w:cs="Times New Roman"/>
          <w:b/>
          <w:bCs/>
          <w:sz w:val="30"/>
          <w:szCs w:val="30"/>
          <w:u w:val="single"/>
        </w:rPr>
        <w:t xml:space="preserve">        </w:t>
      </w:r>
    </w:p>
    <w:p w14:paraId="486B7F85">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年级班级</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B220408   </w:t>
      </w:r>
      <w:r>
        <w:rPr>
          <w:rFonts w:hint="default" w:ascii="Times New Roman" w:hAnsi="Times New Roman" w:eastAsia="宋体" w:cs="Times New Roman"/>
          <w:b/>
          <w:bCs/>
          <w:sz w:val="30"/>
          <w:szCs w:val="30"/>
          <w:u w:val="single"/>
        </w:rPr>
        <w:t xml:space="preserve">              </w:t>
      </w:r>
    </w:p>
    <w:p w14:paraId="0951946D">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学    号</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B22040818</w:t>
      </w:r>
      <w:r>
        <w:rPr>
          <w:rFonts w:hint="default" w:ascii="Times New Roman" w:hAnsi="Times New Roman" w:eastAsia="宋体" w:cs="Times New Roman"/>
          <w:b/>
          <w:bCs/>
          <w:sz w:val="30"/>
          <w:szCs w:val="30"/>
          <w:u w:val="single"/>
        </w:rPr>
        <w:t xml:space="preserve">               </w:t>
      </w:r>
    </w:p>
    <w:p w14:paraId="6B0CFD0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姓    名</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林艺森</w:t>
      </w:r>
      <w:r>
        <w:rPr>
          <w:rFonts w:hint="default" w:ascii="Times New Roman" w:hAnsi="Times New Roman" w:eastAsia="宋体" w:cs="Times New Roman"/>
          <w:b/>
          <w:bCs/>
          <w:sz w:val="30"/>
          <w:szCs w:val="30"/>
          <w:u w:val="single"/>
        </w:rPr>
        <w:t xml:space="preserve">                  </w:t>
      </w:r>
    </w:p>
    <w:p w14:paraId="5BAA33B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授课教师</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张莹</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      </w:t>
      </w:r>
      <w:r>
        <w:rPr>
          <w:rFonts w:hint="default" w:ascii="Times New Roman" w:hAnsi="Times New Roman" w:eastAsia="宋体" w:cs="Times New Roman"/>
          <w:b/>
          <w:bCs/>
          <w:sz w:val="30"/>
          <w:szCs w:val="30"/>
          <w:u w:val="single"/>
        </w:rPr>
        <w:t xml:space="preserve">       </w:t>
      </w:r>
    </w:p>
    <w:p w14:paraId="4B59B823">
      <w:pPr>
        <w:wordWrap w:val="0"/>
        <w:rPr>
          <w:rFonts w:hint="default" w:ascii="Times New Roman" w:hAnsi="Times New Roman" w:eastAsia="宋体" w:cs="Times New Roman"/>
          <w:sz w:val="24"/>
          <w:szCs w:val="24"/>
        </w:rPr>
      </w:pPr>
    </w:p>
    <w:p w14:paraId="0CF2BF35">
      <w:pPr>
        <w:ind w:firstLine="4440" w:firstLineChars="1850"/>
        <w:rPr>
          <w:rFonts w:hint="default" w:ascii="Times New Roman" w:hAnsi="Times New Roman" w:eastAsia="宋体" w:cs="Times New Roman"/>
          <w:sz w:val="24"/>
          <w:szCs w:val="24"/>
        </w:rPr>
      </w:pPr>
    </w:p>
    <w:p w14:paraId="0D4E3C43">
      <w:pPr>
        <w:rPr>
          <w:rFonts w:hint="default" w:ascii="Times New Roman" w:hAnsi="Times New Roman" w:eastAsia="宋体" w:cs="Times New Roman"/>
          <w:sz w:val="24"/>
          <w:szCs w:val="24"/>
        </w:rPr>
      </w:pPr>
    </w:p>
    <w:p w14:paraId="6CA1E031">
      <w:pPr>
        <w:spacing w:line="360" w:lineRule="auto"/>
        <w:jc w:val="center"/>
        <w:rPr>
          <w:rFonts w:hint="default" w:ascii="Times New Roman" w:hAnsi="Times New Roman" w:eastAsia="宋体" w:cs="Times New Roman"/>
          <w:b/>
          <w:bCs/>
          <w:sz w:val="30"/>
          <w:szCs w:val="30"/>
        </w:rPr>
      </w:pP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30"/>
          <w:szCs w:val="30"/>
        </w:rPr>
        <w:t>社会与人口学院</w:t>
      </w:r>
    </w:p>
    <w:p w14:paraId="30E1963F">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2025 年 12 月 10 日</w:t>
      </w:r>
    </w:p>
    <w:p w14:paraId="231B186B">
      <w:pPr>
        <w:widowControl/>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11032500">
      <w:pPr>
        <w:spacing w:before="156" w:beforeLines="50" w:after="156" w:afterLines="50" w:line="360" w:lineRule="auto"/>
        <w:ind w:firstLine="960" w:firstLineChars="300"/>
        <w:jc w:val="center"/>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《工程与社会》课程论文成绩评定表</w:t>
      </w:r>
    </w:p>
    <w:tbl>
      <w:tblPr>
        <w:tblStyle w:val="7"/>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625C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0A48D814">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459B4EF8">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生命伦理的算法化：医疗AI决策系统中的医生责任与机器边界</w:t>
            </w:r>
            <w:r>
              <w:rPr>
                <w:rFonts w:hint="default" w:ascii="Times New Roman" w:hAnsi="Times New Roman" w:eastAsia="宋体" w:cs="Times New Roman"/>
              </w:rPr>
              <w:t xml:space="preserve"> </w:t>
            </w:r>
          </w:p>
        </w:tc>
      </w:tr>
      <w:tr w14:paraId="5F2C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4CFAE81D">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732740E0">
            <w:pPr>
              <w:tabs>
                <w:tab w:val="left" w:pos="6870"/>
              </w:tabs>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林艺森</w:t>
            </w:r>
          </w:p>
        </w:tc>
        <w:tc>
          <w:tcPr>
            <w:tcW w:w="1178" w:type="dxa"/>
            <w:tcBorders>
              <w:top w:val="single" w:color="auto" w:sz="4" w:space="0"/>
              <w:left w:val="single" w:color="auto" w:sz="4" w:space="0"/>
              <w:bottom w:val="single" w:color="auto" w:sz="4" w:space="0"/>
              <w:right w:val="single" w:color="auto" w:sz="4" w:space="0"/>
            </w:tcBorders>
            <w:vAlign w:val="center"/>
          </w:tcPr>
          <w:p w14:paraId="08B0B2EF">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08643D48">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B220408</w:t>
            </w:r>
            <w:r>
              <w:rPr>
                <w:rFonts w:hint="eastAsia" w:ascii="Times New Roman" w:hAnsi="Times New Roman" w:eastAsia="宋体" w:cs="Times New Roman"/>
                <w:lang w:val="en-US" w:eastAsia="zh-CN"/>
              </w:rPr>
              <w:t>18</w:t>
            </w:r>
            <w:r>
              <w:rPr>
                <w:rFonts w:hint="default" w:ascii="Times New Roman" w:hAnsi="Times New Roman" w:eastAsia="宋体" w:cs="Times New Roman"/>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5EB0C7A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6121CE24">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计算机科学与技术</w:t>
            </w:r>
            <w:r>
              <w:rPr>
                <w:rFonts w:hint="default" w:ascii="Times New Roman" w:hAnsi="Times New Roman" w:eastAsia="宋体" w:cs="Times New Roman"/>
              </w:rPr>
              <w:t xml:space="preserve"> </w:t>
            </w:r>
          </w:p>
        </w:tc>
      </w:tr>
      <w:tr w14:paraId="7AE1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5F7A7E5">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AB93CA2">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AFA8D71">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510E9D9">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w:t>
            </w:r>
          </w:p>
        </w:tc>
      </w:tr>
      <w:tr w14:paraId="0733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68A25AE">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B18DCEB">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E7A7CA3">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5029935">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AD8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144C0C8">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4B803FA">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BB11A4C">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616DE35">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0701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460ED74">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867A816">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紧扣论文题目，观点鲜明，论证充分，结构合理，能综合运用所学课程知识，分析和解决实际问题。其中必须包含</w:t>
            </w:r>
            <w:r>
              <w:rPr>
                <w:rFonts w:hint="default" w:ascii="Times New Roman" w:hAnsi="Times New Roman" w:eastAsia="宋体" w:cs="Times New Roman"/>
                <w:b/>
                <w:bCs/>
                <w:color w:val="000000"/>
              </w:rPr>
              <w:t>文献综述</w:t>
            </w:r>
            <w:r>
              <w:rPr>
                <w:rFonts w:hint="default" w:ascii="Times New Roman" w:hAnsi="Times New Roman" w:eastAsia="宋体" w:cs="Times New Roman"/>
                <w:color w:val="000000"/>
              </w:rPr>
              <w:t>，需检索至少10篇中文文献和1篇英文文献，通过整理和分析现有文献，展示对研究主题的熟悉程度和归纳、总结与评述能力。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B4E83E6">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40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C0AAE4D">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31F7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49A2A1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7C7D35B">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文字通顺，结构完整，字数不少于4000字。参考文献采用《南京邮电大学本科毕业论文工作规定》规定的引文格式。</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D982CFE">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E37130C">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42B4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DA30D8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5143590">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排版规范美观：1.25倍行距，段前段后0行；一级标题选用“四号黑体”，二级标题选用“小四号宋体”加黑；正文内容选用“小四号宋体”；英文字体为“Times New Roman”。报告A4纸双面打印，左侧装订。</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220F7BC">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6B410FB">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AFC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3E31019">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CF74BE9">
            <w:pPr>
              <w:tabs>
                <w:tab w:val="left" w:pos="6870"/>
              </w:tabs>
              <w:rPr>
                <w:rFonts w:hint="default" w:ascii="Times New Roman" w:hAnsi="Times New Roman" w:eastAsia="宋体" w:cs="Times New Roman"/>
                <w:color w:val="000000"/>
              </w:rPr>
            </w:pPr>
          </w:p>
        </w:tc>
      </w:tr>
      <w:tr w14:paraId="7942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A8858D1">
            <w:pPr>
              <w:tabs>
                <w:tab w:val="left" w:pos="6870"/>
              </w:tabs>
              <w:jc w:val="center"/>
              <w:rPr>
                <w:rFonts w:hint="default" w:ascii="Times New Roman" w:hAnsi="Times New Roman" w:eastAsia="宋体" w:cs="Times New Roman"/>
              </w:rPr>
            </w:pPr>
          </w:p>
          <w:p w14:paraId="6B125E89">
            <w:pPr>
              <w:tabs>
                <w:tab w:val="left" w:pos="6870"/>
              </w:tabs>
              <w:jc w:val="center"/>
              <w:rPr>
                <w:rFonts w:hint="default" w:ascii="Times New Roman" w:hAnsi="Times New Roman" w:eastAsia="宋体" w:cs="Times New Roman"/>
              </w:rPr>
            </w:pPr>
          </w:p>
          <w:p w14:paraId="0C114575">
            <w:pPr>
              <w:tabs>
                <w:tab w:val="left" w:pos="6870"/>
              </w:tabs>
              <w:jc w:val="center"/>
              <w:rPr>
                <w:rFonts w:hint="default" w:ascii="Times New Roman" w:hAnsi="Times New Roman" w:eastAsia="宋体" w:cs="Times New Roman"/>
              </w:rPr>
            </w:pPr>
          </w:p>
          <w:p w14:paraId="2AF28B9C">
            <w:pPr>
              <w:tabs>
                <w:tab w:val="left" w:pos="6870"/>
              </w:tabs>
              <w:jc w:val="center"/>
              <w:rPr>
                <w:rFonts w:hint="default" w:ascii="Times New Roman" w:hAnsi="Times New Roman" w:eastAsia="宋体" w:cs="Times New Roman"/>
              </w:rPr>
            </w:pPr>
          </w:p>
          <w:p w14:paraId="280DD079">
            <w:pPr>
              <w:tabs>
                <w:tab w:val="left" w:pos="6870"/>
              </w:tabs>
              <w:jc w:val="center"/>
              <w:rPr>
                <w:rFonts w:hint="default" w:ascii="Times New Roman" w:hAnsi="Times New Roman" w:eastAsia="宋体" w:cs="Times New Roman"/>
              </w:rPr>
            </w:pPr>
          </w:p>
          <w:p w14:paraId="428B7EB6">
            <w:pPr>
              <w:tabs>
                <w:tab w:val="left" w:pos="6870"/>
              </w:tabs>
              <w:jc w:val="center"/>
              <w:rPr>
                <w:rFonts w:hint="default" w:ascii="Times New Roman" w:hAnsi="Times New Roman" w:eastAsia="宋体" w:cs="Times New Roman"/>
              </w:rPr>
            </w:pPr>
          </w:p>
          <w:p w14:paraId="121157B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任课教师</w:t>
            </w:r>
          </w:p>
          <w:p w14:paraId="73CFDED5">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评阅意见</w:t>
            </w:r>
          </w:p>
          <w:p w14:paraId="222EDD4F">
            <w:pPr>
              <w:rPr>
                <w:rFonts w:hint="default" w:ascii="Times New Roman" w:hAnsi="Times New Roman" w:eastAsia="宋体" w:cs="Times New Roman"/>
              </w:rPr>
            </w:pPr>
          </w:p>
          <w:p w14:paraId="0858FC5D">
            <w:pPr>
              <w:rPr>
                <w:rFonts w:hint="default" w:ascii="Times New Roman" w:hAnsi="Times New Roman" w:eastAsia="宋体" w:cs="Times New Roman"/>
              </w:rPr>
            </w:pPr>
          </w:p>
          <w:p w14:paraId="09221BAB">
            <w:pPr>
              <w:rPr>
                <w:rFonts w:hint="default" w:ascii="Times New Roman" w:hAnsi="Times New Roman" w:eastAsia="宋体" w:cs="Times New Roman"/>
              </w:rPr>
            </w:pPr>
          </w:p>
          <w:p w14:paraId="785E02BB">
            <w:pPr>
              <w:rPr>
                <w:rFonts w:hint="default" w:ascii="Times New Roman" w:hAnsi="Times New Roman" w:eastAsia="宋体" w:cs="Times New Roman"/>
              </w:rPr>
            </w:pPr>
          </w:p>
          <w:p w14:paraId="59D1EA68">
            <w:pPr>
              <w:rPr>
                <w:rFonts w:hint="default" w:ascii="Times New Roman" w:hAnsi="Times New Roman" w:eastAsia="宋体" w:cs="Times New Roman"/>
              </w:rPr>
            </w:pPr>
          </w:p>
          <w:p w14:paraId="23FC567C">
            <w:pPr>
              <w:rPr>
                <w:rFonts w:hint="default" w:ascii="Times New Roman" w:hAnsi="Times New Roman" w:eastAsia="宋体" w:cs="Times New Roman"/>
              </w:rPr>
            </w:pPr>
          </w:p>
          <w:p w14:paraId="11294992">
            <w:pPr>
              <w:rPr>
                <w:rFonts w:hint="default" w:ascii="Times New Roman" w:hAnsi="Times New Roman" w:eastAsia="宋体" w:cs="Times New Roman"/>
              </w:rPr>
            </w:pPr>
          </w:p>
          <w:p w14:paraId="45E410B3">
            <w:pPr>
              <w:rPr>
                <w:rFonts w:hint="default" w:ascii="Times New Roman" w:hAnsi="Times New Roman" w:eastAsia="宋体" w:cs="Times New Roman"/>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49073A4F">
            <w:pPr>
              <w:tabs>
                <w:tab w:val="left" w:pos="6870"/>
              </w:tabs>
              <w:jc w:val="center"/>
              <w:rPr>
                <w:rFonts w:hint="default" w:ascii="Times New Roman" w:hAnsi="Times New Roman" w:eastAsia="宋体" w:cs="Times New Roman"/>
                <w:color w:val="000000"/>
              </w:rPr>
            </w:pPr>
          </w:p>
          <w:p w14:paraId="7FC6DD91">
            <w:pPr>
              <w:tabs>
                <w:tab w:val="left" w:pos="6870"/>
              </w:tabs>
              <w:jc w:val="center"/>
              <w:rPr>
                <w:rFonts w:hint="default" w:ascii="Times New Roman" w:hAnsi="Times New Roman" w:eastAsia="宋体" w:cs="Times New Roman"/>
                <w:color w:val="000000"/>
              </w:rPr>
            </w:pPr>
          </w:p>
          <w:p w14:paraId="6C4A313A">
            <w:pPr>
              <w:tabs>
                <w:tab w:val="left" w:pos="6870"/>
              </w:tabs>
              <w:jc w:val="center"/>
              <w:rPr>
                <w:rFonts w:hint="default" w:ascii="Times New Roman" w:hAnsi="Times New Roman" w:eastAsia="宋体" w:cs="Times New Roman"/>
                <w:color w:val="000000"/>
              </w:rPr>
            </w:pPr>
          </w:p>
          <w:p w14:paraId="4D324875">
            <w:pPr>
              <w:tabs>
                <w:tab w:val="left" w:pos="6870"/>
              </w:tabs>
              <w:jc w:val="center"/>
              <w:rPr>
                <w:rFonts w:hint="default" w:ascii="Times New Roman" w:hAnsi="Times New Roman" w:eastAsia="宋体" w:cs="Times New Roman"/>
                <w:color w:val="000000"/>
              </w:rPr>
            </w:pPr>
          </w:p>
          <w:p w14:paraId="634965C8">
            <w:pPr>
              <w:tabs>
                <w:tab w:val="left" w:pos="6870"/>
              </w:tabs>
              <w:jc w:val="center"/>
              <w:rPr>
                <w:rFonts w:hint="default" w:ascii="Times New Roman" w:hAnsi="Times New Roman" w:eastAsia="宋体" w:cs="Times New Roman"/>
                <w:color w:val="000000"/>
              </w:rPr>
            </w:pPr>
          </w:p>
          <w:p w14:paraId="7B109C74">
            <w:pPr>
              <w:tabs>
                <w:tab w:val="left" w:pos="6870"/>
              </w:tabs>
              <w:jc w:val="center"/>
              <w:rPr>
                <w:rFonts w:hint="default" w:ascii="Times New Roman" w:hAnsi="Times New Roman" w:eastAsia="宋体" w:cs="Times New Roman"/>
                <w:color w:val="000000"/>
              </w:rPr>
            </w:pPr>
          </w:p>
          <w:p w14:paraId="1CDC8616">
            <w:pPr>
              <w:tabs>
                <w:tab w:val="left" w:pos="6870"/>
              </w:tabs>
              <w:jc w:val="center"/>
              <w:rPr>
                <w:rFonts w:hint="default" w:ascii="Times New Roman" w:hAnsi="Times New Roman" w:eastAsia="宋体" w:cs="Times New Roman"/>
                <w:color w:val="000000"/>
              </w:rPr>
            </w:pPr>
          </w:p>
          <w:p w14:paraId="1F3DC532">
            <w:pPr>
              <w:tabs>
                <w:tab w:val="left" w:pos="6870"/>
              </w:tabs>
              <w:jc w:val="center"/>
              <w:rPr>
                <w:rFonts w:hint="default" w:ascii="Times New Roman" w:hAnsi="Times New Roman" w:eastAsia="宋体" w:cs="Times New Roman"/>
                <w:color w:val="000000"/>
              </w:rPr>
            </w:pPr>
          </w:p>
          <w:p w14:paraId="259FFF13">
            <w:pPr>
              <w:tabs>
                <w:tab w:val="left" w:pos="6870"/>
              </w:tabs>
              <w:jc w:val="center"/>
              <w:rPr>
                <w:rFonts w:hint="default" w:ascii="Times New Roman" w:hAnsi="Times New Roman" w:eastAsia="宋体" w:cs="Times New Roman"/>
                <w:color w:val="000000"/>
              </w:rPr>
            </w:pPr>
          </w:p>
          <w:p w14:paraId="46E7AC07">
            <w:pPr>
              <w:tabs>
                <w:tab w:val="left" w:pos="6870"/>
              </w:tabs>
              <w:rPr>
                <w:rFonts w:hint="default" w:ascii="Times New Roman" w:hAnsi="Times New Roman" w:eastAsia="宋体" w:cs="Times New Roman"/>
                <w:color w:val="000000"/>
              </w:rPr>
            </w:pPr>
          </w:p>
          <w:p w14:paraId="0B3ED326">
            <w:pPr>
              <w:tabs>
                <w:tab w:val="left" w:pos="6870"/>
              </w:tabs>
              <w:rPr>
                <w:rFonts w:hint="default" w:ascii="Times New Roman" w:hAnsi="Times New Roman" w:eastAsia="宋体" w:cs="Times New Roman"/>
                <w:color w:val="000000"/>
              </w:rPr>
            </w:pPr>
          </w:p>
        </w:tc>
      </w:tr>
    </w:tbl>
    <w:sdt>
      <w:sdtPr>
        <w:rPr>
          <w:rFonts w:hint="default" w:ascii="Times New Roman" w:hAnsi="Times New Roman" w:eastAsia="宋体" w:cs="Times New Roman"/>
          <w:b/>
          <w:bCs/>
          <w:color w:val="auto"/>
          <w:kern w:val="2"/>
          <w:sz w:val="24"/>
          <w:szCs w:val="24"/>
          <w:lang w:val="zh-CN"/>
        </w:rPr>
        <w:id w:val="-1014842521"/>
        <w:docPartObj>
          <w:docPartGallery w:val="Table of Contents"/>
          <w:docPartUnique/>
        </w:docPartObj>
      </w:sdtPr>
      <w:sdtEndPr>
        <w:rPr>
          <w:rFonts w:hint="default" w:ascii="Times New Roman" w:hAnsi="Times New Roman" w:eastAsia="宋体" w:cs="Times New Roman"/>
          <w:b/>
          <w:bCs/>
          <w:color w:val="auto"/>
          <w:kern w:val="2"/>
          <w:sz w:val="24"/>
          <w:szCs w:val="24"/>
          <w:lang w:val="zh-CN"/>
        </w:rPr>
      </w:sdtEndPr>
      <w:sdtContent>
        <w:p w14:paraId="2DAA8927">
          <w:pPr>
            <w:pStyle w:val="9"/>
            <w:jc w:val="cente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lang w:val="zh-CN"/>
            </w:rPr>
            <w:t>目录</w:t>
          </w:r>
        </w:p>
        <w:p w14:paraId="551EB402">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TOC \o "1-3" \h \z \u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_Toc12948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摘要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_Toc12948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8D6CC50">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_Toc479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一、 引言</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bCs/>
              <w:sz w:val="24"/>
              <w:szCs w:val="24"/>
              <w:lang w:val="zh-CN"/>
            </w:rPr>
            <w:fldChar w:fldCharType="end"/>
          </w:r>
        </w:p>
        <w:p w14:paraId="2977B6EC">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_Toc20759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1.1 人工智能在医疗领域的广泛应用</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bCs/>
              <w:sz w:val="24"/>
              <w:szCs w:val="24"/>
              <w:lang w:val="zh-CN"/>
            </w:rPr>
            <w:fldChar w:fldCharType="end"/>
          </w:r>
        </w:p>
        <w:p w14:paraId="42B85E7A">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_Toc1111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1.2 人工智能决策</w:t>
          </w:r>
          <w:r>
            <w:rPr>
              <w:rFonts w:hint="default" w:ascii="Times New Roman" w:hAnsi="Times New Roman" w:eastAsia="宋体" w:cs="Times New Roman"/>
              <w:sz w:val="24"/>
              <w:szCs w:val="24"/>
              <w:lang w:val="en-US" w:eastAsia="zh-CN"/>
            </w:rPr>
            <w:t>导致的</w:t>
          </w:r>
          <w:r>
            <w:rPr>
              <w:rFonts w:hint="default" w:ascii="Times New Roman" w:hAnsi="Times New Roman" w:eastAsia="宋体" w:cs="Times New Roman"/>
              <w:sz w:val="24"/>
              <w:szCs w:val="24"/>
            </w:rPr>
            <w:t>伦理问题</w:t>
          </w:r>
          <w:r>
            <w:rPr>
              <w:rFonts w:hint="default" w:ascii="Times New Roman" w:hAnsi="Times New Roman" w:eastAsia="宋体" w:cs="Times New Roman"/>
              <w:sz w:val="24"/>
              <w:szCs w:val="24"/>
              <w:lang w:val="en-US" w:eastAsia="zh-CN"/>
            </w:rPr>
            <w:t>与责任问题</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bCs/>
              <w:sz w:val="24"/>
              <w:szCs w:val="24"/>
              <w:lang w:val="zh-CN"/>
            </w:rPr>
            <w:fldChar w:fldCharType="end"/>
          </w:r>
        </w:p>
        <w:p w14:paraId="70275EC6">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_Toc16208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二、</w:t>
          </w:r>
          <w:r>
            <w:rPr>
              <w:rFonts w:hint="default" w:ascii="Times New Roman" w:hAnsi="Times New Roman" w:eastAsia="宋体" w:cs="Times New Roman"/>
              <w:sz w:val="24"/>
              <w:szCs w:val="24"/>
              <w:lang w:val="en-US" w:eastAsia="zh-CN"/>
            </w:rPr>
            <w:t>国内外研究现状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bCs/>
              <w:sz w:val="24"/>
              <w:szCs w:val="24"/>
              <w:lang w:val="zh-CN"/>
            </w:rPr>
            <w:fldChar w:fldCharType="end"/>
          </w:r>
        </w:p>
        <w:p w14:paraId="67E52597">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_Toc10726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2.1 国内研究现状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bCs/>
              <w:sz w:val="24"/>
              <w:szCs w:val="24"/>
              <w:lang w:val="zh-CN"/>
            </w:rPr>
            <w:fldChar w:fldCharType="end"/>
          </w:r>
        </w:p>
        <w:p w14:paraId="25E19B57">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_Toc2707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2.2 国际研究现状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bCs/>
              <w:sz w:val="24"/>
              <w:szCs w:val="24"/>
              <w:lang w:val="zh-CN"/>
            </w:rPr>
            <w:fldChar w:fldCharType="end"/>
          </w:r>
        </w:p>
        <w:p w14:paraId="39D58DDC">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_Toc28268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三、人工智能决策系统的伦理与责任问题的案例与分析</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bCs/>
              <w:sz w:val="24"/>
              <w:szCs w:val="24"/>
              <w:lang w:val="zh-CN"/>
            </w:rPr>
            <w:fldChar w:fldCharType="end"/>
          </w:r>
        </w:p>
        <w:p w14:paraId="2958D207">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_Toc15281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3.1 IBM Watson for Oncology（沃森肿瘤解决方案）的算法偏见与医疗AI公平性困境</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bCs/>
              <w:sz w:val="24"/>
              <w:szCs w:val="24"/>
              <w:lang w:val="zh-CN"/>
            </w:rPr>
            <w:fldChar w:fldCharType="end"/>
          </w:r>
        </w:p>
        <w:p w14:paraId="0F147FAB">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_Toc23043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四、结论与建议</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bCs/>
              <w:sz w:val="24"/>
              <w:szCs w:val="24"/>
              <w:lang w:val="zh-CN"/>
            </w:rPr>
            <w:fldChar w:fldCharType="end"/>
          </w:r>
        </w:p>
        <w:p w14:paraId="1019306F">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_Toc16341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解决方案</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bCs/>
              <w:sz w:val="24"/>
              <w:szCs w:val="24"/>
              <w:lang w:val="zh-CN"/>
            </w:rPr>
            <w:fldChar w:fldCharType="end"/>
          </w:r>
        </w:p>
        <w:p w14:paraId="0ACC0D86">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_Toc9673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参考文献</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bCs/>
              <w:sz w:val="24"/>
              <w:szCs w:val="24"/>
              <w:lang w:val="zh-CN"/>
            </w:rPr>
            <w:fldChar w:fldCharType="end"/>
          </w:r>
        </w:p>
        <w:p w14:paraId="4A066E32">
          <w:pPr>
            <w:rPr>
              <w:rFonts w:hint="default" w:ascii="Times New Roman" w:hAnsi="Times New Roman" w:eastAsia="宋体" w:cs="Times New Roman"/>
              <w:bCs/>
              <w:sz w:val="24"/>
              <w:szCs w:val="24"/>
              <w:lang w:val="zh-CN"/>
            </w:rPr>
          </w:pPr>
          <w:r>
            <w:rPr>
              <w:rFonts w:hint="default" w:ascii="Times New Roman" w:hAnsi="Times New Roman" w:eastAsia="宋体" w:cs="Times New Roman"/>
              <w:bCs/>
              <w:sz w:val="24"/>
              <w:szCs w:val="24"/>
              <w:lang w:val="zh-CN"/>
            </w:rPr>
            <w:fldChar w:fldCharType="end"/>
          </w:r>
        </w:p>
        <w:p w14:paraId="0131E28D">
          <w:pPr>
            <w:rPr>
              <w:rFonts w:hint="default" w:ascii="Times New Roman" w:hAnsi="Times New Roman" w:eastAsia="宋体" w:cs="Times New Roman"/>
              <w:bCs/>
              <w:sz w:val="24"/>
              <w:szCs w:val="24"/>
              <w:lang w:val="zh-CN"/>
            </w:rPr>
          </w:pPr>
        </w:p>
        <w:p w14:paraId="7AAB8B18">
          <w:pPr>
            <w:rPr>
              <w:rFonts w:hint="default" w:ascii="Times New Roman" w:hAnsi="Times New Roman" w:eastAsia="宋体" w:cs="Times New Roman"/>
              <w:bCs/>
              <w:sz w:val="24"/>
              <w:szCs w:val="24"/>
              <w:lang w:val="zh-CN"/>
            </w:rPr>
          </w:pPr>
        </w:p>
        <w:p w14:paraId="5166DBEA">
          <w:pPr>
            <w:rPr>
              <w:rFonts w:hint="default" w:ascii="Times New Roman" w:hAnsi="Times New Roman" w:eastAsia="宋体" w:cs="Times New Roman"/>
              <w:bCs/>
              <w:sz w:val="24"/>
              <w:szCs w:val="24"/>
              <w:lang w:val="zh-CN"/>
            </w:rPr>
          </w:pPr>
        </w:p>
        <w:p w14:paraId="1FD268E7">
          <w:pPr>
            <w:rPr>
              <w:rFonts w:hint="default" w:ascii="Times New Roman" w:hAnsi="Times New Roman" w:eastAsia="宋体" w:cs="Times New Roman"/>
              <w:bCs/>
              <w:sz w:val="24"/>
              <w:szCs w:val="24"/>
              <w:lang w:val="zh-CN"/>
            </w:rPr>
          </w:pPr>
        </w:p>
        <w:p w14:paraId="742DBE15">
          <w:pPr>
            <w:rPr>
              <w:rFonts w:hint="default" w:ascii="Times New Roman" w:hAnsi="Times New Roman" w:eastAsia="宋体" w:cs="Times New Roman"/>
              <w:bCs/>
              <w:sz w:val="24"/>
              <w:szCs w:val="24"/>
              <w:lang w:val="zh-CN"/>
            </w:rPr>
          </w:pPr>
        </w:p>
        <w:p w14:paraId="4C543B57">
          <w:pPr>
            <w:rPr>
              <w:rFonts w:hint="default" w:ascii="Times New Roman" w:hAnsi="Times New Roman" w:eastAsia="宋体" w:cs="Times New Roman"/>
              <w:bCs/>
              <w:sz w:val="24"/>
              <w:szCs w:val="24"/>
              <w:lang w:val="zh-CN"/>
            </w:rPr>
          </w:pPr>
        </w:p>
        <w:p w14:paraId="26A443A8">
          <w:pPr>
            <w:rPr>
              <w:rFonts w:hint="default" w:ascii="Times New Roman" w:hAnsi="Times New Roman" w:eastAsia="宋体" w:cs="Times New Roman"/>
              <w:bCs/>
              <w:sz w:val="24"/>
              <w:szCs w:val="24"/>
              <w:lang w:val="zh-CN"/>
            </w:rPr>
          </w:pPr>
        </w:p>
        <w:p w14:paraId="32B8A446">
          <w:pPr>
            <w:rPr>
              <w:rFonts w:hint="default" w:ascii="Times New Roman" w:hAnsi="Times New Roman" w:eastAsia="宋体" w:cs="Times New Roman"/>
              <w:bCs/>
              <w:sz w:val="24"/>
              <w:szCs w:val="24"/>
              <w:lang w:val="zh-CN"/>
            </w:rPr>
          </w:pPr>
        </w:p>
        <w:p w14:paraId="7BE19CF3">
          <w:pPr>
            <w:rPr>
              <w:rFonts w:hint="default" w:ascii="Times New Roman" w:hAnsi="Times New Roman" w:eastAsia="宋体" w:cs="Times New Roman"/>
              <w:bCs/>
              <w:sz w:val="24"/>
              <w:szCs w:val="24"/>
              <w:lang w:val="zh-CN"/>
            </w:rPr>
          </w:pPr>
        </w:p>
        <w:p w14:paraId="503E4F5E">
          <w:pPr>
            <w:rPr>
              <w:rFonts w:hint="default" w:ascii="Times New Roman" w:hAnsi="Times New Roman" w:eastAsia="宋体" w:cs="Times New Roman"/>
              <w:bCs/>
              <w:sz w:val="24"/>
              <w:szCs w:val="24"/>
              <w:lang w:val="zh-CN"/>
            </w:rPr>
          </w:pPr>
        </w:p>
        <w:p w14:paraId="49A4C604">
          <w:pPr>
            <w:rPr>
              <w:rFonts w:hint="default" w:ascii="Times New Roman" w:hAnsi="Times New Roman" w:eastAsia="宋体" w:cs="Times New Roman"/>
              <w:bCs/>
              <w:sz w:val="24"/>
              <w:szCs w:val="24"/>
              <w:lang w:val="zh-CN"/>
            </w:rPr>
          </w:pPr>
        </w:p>
        <w:p w14:paraId="7F78A27D">
          <w:pPr>
            <w:rPr>
              <w:rFonts w:hint="default" w:ascii="Times New Roman" w:hAnsi="Times New Roman" w:eastAsia="宋体" w:cs="Times New Roman"/>
              <w:bCs/>
              <w:sz w:val="24"/>
              <w:szCs w:val="24"/>
              <w:lang w:val="zh-CN"/>
            </w:rPr>
          </w:pPr>
        </w:p>
        <w:p w14:paraId="553C0237">
          <w:pPr>
            <w:rPr>
              <w:rFonts w:hint="default" w:ascii="Times New Roman" w:hAnsi="Times New Roman" w:eastAsia="宋体" w:cs="Times New Roman"/>
              <w:bCs/>
              <w:sz w:val="24"/>
              <w:szCs w:val="24"/>
              <w:lang w:val="zh-CN"/>
            </w:rPr>
          </w:pPr>
        </w:p>
        <w:p w14:paraId="607E359F">
          <w:pPr>
            <w:rPr>
              <w:rFonts w:hint="default" w:ascii="Times New Roman" w:hAnsi="Times New Roman" w:eastAsia="宋体" w:cs="Times New Roman"/>
              <w:bCs/>
              <w:sz w:val="24"/>
              <w:szCs w:val="24"/>
              <w:lang w:val="zh-CN"/>
            </w:rPr>
          </w:pPr>
        </w:p>
        <w:p w14:paraId="6C0B703E">
          <w:pPr>
            <w:rPr>
              <w:rFonts w:hint="default" w:ascii="Times New Roman" w:hAnsi="Times New Roman" w:eastAsia="宋体" w:cs="Times New Roman"/>
              <w:bCs/>
              <w:sz w:val="24"/>
              <w:szCs w:val="24"/>
              <w:lang w:val="zh-CN"/>
            </w:rPr>
          </w:pPr>
        </w:p>
        <w:p w14:paraId="025C79DC">
          <w:pPr>
            <w:rPr>
              <w:rFonts w:hint="default" w:ascii="Times New Roman" w:hAnsi="Times New Roman" w:eastAsia="宋体" w:cs="Times New Roman"/>
              <w:sz w:val="24"/>
              <w:szCs w:val="24"/>
            </w:rPr>
          </w:pPr>
        </w:p>
      </w:sdtContent>
    </w:sdt>
    <w:p w14:paraId="1E819664">
      <w:pPr>
        <w:pStyle w:val="2"/>
        <w:spacing w:before="156" w:after="156"/>
        <w:jc w:val="center"/>
        <w:rPr>
          <w:rFonts w:hint="default" w:ascii="Times New Roman" w:hAnsi="Times New Roman" w:eastAsia="宋体" w:cs="Times New Roman"/>
          <w:sz w:val="24"/>
          <w:szCs w:val="24"/>
        </w:rPr>
      </w:pPr>
      <w:bookmarkStart w:id="0" w:name="_Toc12948"/>
    </w:p>
    <w:p w14:paraId="7962FD51">
      <w:pPr>
        <w:pStyle w:val="2"/>
        <w:spacing w:before="156" w:after="156"/>
        <w:jc w:val="both"/>
        <w:rPr>
          <w:rFonts w:hint="default" w:ascii="Times New Roman" w:hAnsi="Times New Roman" w:eastAsia="宋体" w:cs="Times New Roman"/>
          <w:sz w:val="24"/>
          <w:szCs w:val="24"/>
        </w:rPr>
      </w:pPr>
    </w:p>
    <w:bookmarkEnd w:id="0"/>
    <w:p w14:paraId="2B2E9E71">
      <w:pPr>
        <w:pStyle w:val="2"/>
        <w:spacing w:before="156" w:after="156"/>
        <w:jc w:val="both"/>
        <w:rPr>
          <w:rFonts w:hint="default" w:ascii="Times New Roman" w:hAnsi="Times New Roman" w:eastAsia="宋体" w:cs="Times New Roman"/>
          <w:sz w:val="24"/>
          <w:szCs w:val="24"/>
        </w:rPr>
      </w:pPr>
    </w:p>
    <w:p w14:paraId="2E94B6BE">
      <w:pPr>
        <w:rPr>
          <w:rFonts w:hint="default" w:ascii="Times New Roman" w:hAnsi="Times New Roman" w:eastAsia="宋体" w:cs="Times New Roman"/>
          <w:sz w:val="24"/>
          <w:szCs w:val="24"/>
        </w:rPr>
      </w:pPr>
    </w:p>
    <w:p w14:paraId="02D66BDA">
      <w:pPr>
        <w:rPr>
          <w:rFonts w:hint="default" w:ascii="Times New Roman" w:hAnsi="Times New Roman" w:eastAsia="宋体" w:cs="Times New Roman"/>
          <w:sz w:val="24"/>
          <w:szCs w:val="24"/>
        </w:rPr>
      </w:pPr>
    </w:p>
    <w:p w14:paraId="0FC1B988">
      <w:pPr>
        <w:rPr>
          <w:rFonts w:hint="default" w:ascii="Times New Roman" w:hAnsi="Times New Roman" w:eastAsia="宋体" w:cs="Times New Roman"/>
          <w:sz w:val="24"/>
          <w:szCs w:val="24"/>
        </w:rPr>
      </w:pPr>
    </w:p>
    <w:p w14:paraId="34A2CFDB">
      <w:pPr>
        <w:rPr>
          <w:rFonts w:hint="default" w:ascii="Times New Roman" w:hAnsi="Times New Roman" w:eastAsia="宋体" w:cs="Times New Roman"/>
          <w:sz w:val="24"/>
          <w:szCs w:val="24"/>
        </w:rPr>
      </w:pPr>
    </w:p>
    <w:p w14:paraId="68AF8EA5">
      <w:pPr>
        <w:rPr>
          <w:rFonts w:hint="default" w:ascii="Times New Roman" w:hAnsi="Times New Roman" w:eastAsia="宋体" w:cs="Times New Roman"/>
          <w:sz w:val="24"/>
          <w:szCs w:val="24"/>
        </w:rPr>
      </w:pPr>
    </w:p>
    <w:p w14:paraId="753B6844">
      <w:pPr>
        <w:pStyle w:val="2"/>
        <w:spacing w:before="156" w:after="156"/>
        <w:jc w:val="center"/>
        <w:rPr>
          <w:rStyle w:val="10"/>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sz w:val="28"/>
          <w:szCs w:val="28"/>
          <w:lang w:val="en-US" w:eastAsia="zh-CN"/>
        </w:rPr>
        <w:t>生命伦理的算法化：医疗AI决策系统中的医生责任与机器边界</w:t>
      </w:r>
    </w:p>
    <w:p w14:paraId="1C5B3F67">
      <w:pPr>
        <w:keepNext w:val="0"/>
        <w:keepLines w:val="0"/>
        <w:pageBreakBefore w:val="0"/>
        <w:widowControl w:val="0"/>
        <w:kinsoku/>
        <w:wordWrap/>
        <w:overflowPunct/>
        <w:topLinePunct w:val="0"/>
        <w:autoSpaceDE/>
        <w:autoSpaceDN/>
        <w:bidi w:val="0"/>
        <w:adjustRightInd/>
        <w:snapToGrid/>
        <w:spacing w:line="300" w:lineRule="auto"/>
        <w:textAlignment w:val="auto"/>
        <w:rPr>
          <w:rStyle w:val="10"/>
          <w:rFonts w:hint="default" w:ascii="Times New Roman" w:hAnsi="Times New Roman" w:eastAsia="宋体" w:cs="Times New Roman"/>
          <w:b/>
          <w:bCs/>
          <w:sz w:val="24"/>
          <w:szCs w:val="24"/>
          <w:lang w:val="en-US" w:eastAsia="zh-CN"/>
        </w:rPr>
      </w:pPr>
    </w:p>
    <w:p w14:paraId="0CE2563C">
      <w:pPr>
        <w:keepNext w:val="0"/>
        <w:keepLines w:val="0"/>
        <w:pageBreakBefore w:val="0"/>
        <w:widowControl w:val="0"/>
        <w:kinsoku/>
        <w:wordWrap/>
        <w:overflowPunct/>
        <w:topLinePunct w:val="0"/>
        <w:autoSpaceDE/>
        <w:autoSpaceDN/>
        <w:bidi w:val="0"/>
        <w:adjustRightInd/>
        <w:snapToGrid/>
        <w:spacing w:line="300" w:lineRule="auto"/>
        <w:textAlignment w:val="auto"/>
        <w:rPr>
          <w:rStyle w:val="10"/>
          <w:rFonts w:hint="default" w:ascii="Times New Roman" w:hAnsi="Times New Roman" w:eastAsia="宋体" w:cs="Times New Roman"/>
          <w:sz w:val="24"/>
          <w:szCs w:val="24"/>
        </w:rPr>
      </w:pPr>
      <w:r>
        <w:rPr>
          <w:rStyle w:val="10"/>
          <w:rFonts w:hint="default" w:ascii="Times New Roman" w:hAnsi="Times New Roman" w:eastAsia="宋体" w:cs="Times New Roman"/>
          <w:b/>
          <w:bCs/>
          <w:sz w:val="24"/>
          <w:szCs w:val="24"/>
          <w:lang w:val="en-US" w:eastAsia="zh-CN"/>
        </w:rPr>
        <w:t>摘要：</w:t>
      </w:r>
      <w:r>
        <w:rPr>
          <w:rStyle w:val="10"/>
          <w:rFonts w:hint="default" w:ascii="Times New Roman" w:hAnsi="Times New Roman" w:eastAsia="宋体" w:cs="Times New Roman"/>
          <w:sz w:val="24"/>
          <w:szCs w:val="24"/>
        </w:rPr>
        <w:t>人工智能深度融入医疗实践，已使其从辅助工具演变为关键的决策参与者。这一根本性转变将传统医疗责任体系置于空前压力之下，催生出全新的“责任困境”。本文旨在系统剖析这一困境的双重根源：其一，源于技术本身，包括算法偏见、数据隐私与“黑箱”问题构成的伦理挑战；其二，源于制度滞后，即AI失误时责任在开发者、使用者与机构间的模糊归属。面对此困境，本文认为，突破的关键在于构建“技术-伦理-法律”协同的规制体系。据此，本文从增强算法可解释性、推动适应性立法以及建立跨学科治理框架三方面，提出化解责任困境、引导医疗AI向善发展的具体路径。</w:t>
      </w:r>
    </w:p>
    <w:p w14:paraId="1CA59634">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b/>
          <w:bCs/>
          <w:color w:val="000000"/>
          <w:sz w:val="24"/>
          <w:szCs w:val="24"/>
        </w:rPr>
        <w:t>关键词：</w:t>
      </w:r>
      <w:r>
        <w:rPr>
          <w:rFonts w:hint="default" w:ascii="Times New Roman" w:hAnsi="Times New Roman" w:eastAsia="宋体" w:cs="Times New Roman"/>
          <w:sz w:val="24"/>
          <w:szCs w:val="24"/>
        </w:rPr>
        <w:t>人工智能；伦理问题；责任归属；医疗领域；决策系统</w:t>
      </w:r>
    </w:p>
    <w:p w14:paraId="6EBFAA5A">
      <w:pPr>
        <w:rPr>
          <w:rFonts w:hint="default" w:ascii="Times New Roman" w:hAnsi="Times New Roman" w:eastAsia="宋体" w:cs="Times New Roman"/>
          <w:sz w:val="24"/>
          <w:szCs w:val="24"/>
        </w:rPr>
      </w:pPr>
    </w:p>
    <w:p w14:paraId="43EED59D">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黑体" w:hAnsi="黑体" w:eastAsia="黑体" w:cs="黑体"/>
          <w:sz w:val="28"/>
          <w:szCs w:val="28"/>
          <w:lang w:val="en-US" w:eastAsia="zh-CN"/>
        </w:rPr>
      </w:pPr>
      <w:bookmarkStart w:id="1" w:name="_Toc479"/>
      <w:r>
        <w:rPr>
          <w:rFonts w:hint="eastAsia" w:ascii="黑体" w:hAnsi="黑体" w:cs="黑体"/>
          <w:sz w:val="28"/>
          <w:szCs w:val="28"/>
          <w:lang w:val="en-US" w:eastAsia="zh-CN"/>
        </w:rPr>
        <w:t>一、</w:t>
      </w:r>
      <w:r>
        <w:rPr>
          <w:rFonts w:hint="default" w:ascii="黑体" w:hAnsi="黑体" w:eastAsia="黑体" w:cs="黑体"/>
          <w:sz w:val="28"/>
          <w:szCs w:val="28"/>
          <w:lang w:val="en-US" w:eastAsia="zh-CN"/>
        </w:rPr>
        <w:t>引言</w:t>
      </w:r>
      <w:bookmarkEnd w:id="1"/>
    </w:p>
    <w:p w14:paraId="1AC6628F">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2" w:name="_Toc20759"/>
      <w:r>
        <w:rPr>
          <w:rFonts w:hint="default" w:ascii="Times New Roman" w:hAnsi="Times New Roman" w:eastAsia="宋体" w:cs="Times New Roman"/>
          <w:sz w:val="24"/>
          <w:szCs w:val="24"/>
          <w:lang w:val="en-US" w:eastAsia="zh-CN"/>
        </w:rPr>
        <w:t>1.1 人工智能在医疗领域的广泛应用</w:t>
      </w:r>
      <w:bookmarkEnd w:id="2"/>
    </w:p>
    <w:p w14:paraId="52E4A76C">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深度学习为代表的人工智能技术，正深刻重塑医疗实践的核心环节。其在医学影像判读、风险预测、个性化治疗等领域的卓越表现，标志着AI已从数据处理工具演变为具备一定自主性的临床决策参与者。这种能力的“蜕变”源于其对海量异构医疗数据的学习与迭代优化。然而，正是这种高度的自主性与复杂性，使得传统医疗责任与伦理框架面临前所未有的挑战。当决策结果出现争议时，责任主体在开发者、算法、医疗机构与临床医生之间变得模糊不清。因此，如何界定与分配AI辅助乃至主导决策下的责任，已成为关乎其可持续临床应用的核心伦理与法律命题。</w:t>
      </w:r>
    </w:p>
    <w:p w14:paraId="63476852">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3" w:name="_Toc1111"/>
      <w:r>
        <w:rPr>
          <w:rFonts w:hint="default" w:ascii="Times New Roman" w:hAnsi="Times New Roman" w:eastAsia="宋体" w:cs="Times New Roman"/>
          <w:sz w:val="24"/>
          <w:szCs w:val="24"/>
          <w:lang w:val="en-US" w:eastAsia="zh-CN"/>
        </w:rPr>
        <w:t>1.2 人工智能决策导致的伦理问题与责任问题</w:t>
      </w:r>
      <w:bookmarkEnd w:id="3"/>
    </w:p>
    <w:p w14:paraId="18D936E6">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人工智能在医疗领域的广泛应用，已成为一个不可忽视的趋势。在这一过程中，一系列随之而来的伦理问题正变得日益突出。首先，AI系统常常表现出透明度和可解释性的缺失。深度学习等复杂算法往往以</w:t>
      </w:r>
      <w:r>
        <w:rPr>
          <w:rFonts w:hint="eastAsia" w:eastAsia="宋体" w:cs="Times New Roman"/>
          <w:sz w:val="24"/>
          <w:szCs w:val="24"/>
          <w:lang w:eastAsia="zh-CN"/>
        </w:rPr>
        <w:t>“</w:t>
      </w:r>
      <w:r>
        <w:rPr>
          <w:rFonts w:hint="default" w:ascii="Times New Roman" w:hAnsi="Times New Roman" w:eastAsia="宋体" w:cs="Times New Roman"/>
          <w:sz w:val="24"/>
          <w:szCs w:val="24"/>
        </w:rPr>
        <w:t>黑箱</w:t>
      </w:r>
      <w:r>
        <w:rPr>
          <w:rFonts w:hint="eastAsia" w:eastAsia="宋体" w:cs="Times New Roman"/>
          <w:sz w:val="24"/>
          <w:szCs w:val="24"/>
          <w:lang w:eastAsia="zh-CN"/>
        </w:rPr>
        <w:t>”</w:t>
      </w:r>
      <w:r>
        <w:rPr>
          <w:rFonts w:hint="default" w:ascii="Times New Roman" w:hAnsi="Times New Roman" w:eastAsia="宋体" w:cs="Times New Roman"/>
          <w:sz w:val="24"/>
          <w:szCs w:val="24"/>
        </w:rPr>
        <w:t>状态运行，使得医生难以准确理解其决策逻辑，患者也难以建立充分信任。这种内在的不透明性不仅可能影响诊疗过程的可靠性，甚至会使医生在使用这些工具时产生迟疑，削弱决策信心。更为严峻的是，由于缺乏可追溯的推理依据，一旦出现错误或意外结果，很难追溯问题根源，也难以形成明确的改进方向。</w:t>
      </w:r>
    </w:p>
    <w:p w14:paraId="0DBA9F9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次，算法中可能存在的偏见也值得警惕。人工智能系统的训练依赖大量历史医疗数据，而这些数据本身可能受到现实医疗资源分布、社会文化结构等影响，存在潜在的偏差。例如，在某些医疗影像数据集中，对特定人群的覆盖可能较为充分，而对其他群体则代表性不足。这种不平衡若不加矫正，可能导致算法在实际应用中形成</w:t>
      </w:r>
      <w:r>
        <w:rPr>
          <w:rFonts w:hint="eastAsia" w:eastAsia="宋体" w:cs="Times New Roman"/>
          <w:sz w:val="24"/>
          <w:szCs w:val="24"/>
          <w:lang w:eastAsia="zh-CN"/>
        </w:rPr>
        <w:t>“</w:t>
      </w:r>
      <w:r>
        <w:rPr>
          <w:rFonts w:hint="default" w:ascii="Times New Roman" w:hAnsi="Times New Roman" w:eastAsia="宋体" w:cs="Times New Roman"/>
          <w:sz w:val="24"/>
          <w:szCs w:val="24"/>
        </w:rPr>
        <w:t>固化偏见</w:t>
      </w:r>
      <w:r>
        <w:rPr>
          <w:rFonts w:hint="eastAsia" w:eastAsia="宋体" w:cs="Times New Roman"/>
          <w:sz w:val="24"/>
          <w:szCs w:val="24"/>
          <w:lang w:eastAsia="zh-CN"/>
        </w:rPr>
        <w:t>”</w:t>
      </w:r>
      <w:r>
        <w:rPr>
          <w:rFonts w:hint="default" w:ascii="Times New Roman" w:hAnsi="Times New Roman" w:eastAsia="宋体" w:cs="Times New Roman"/>
          <w:sz w:val="24"/>
          <w:szCs w:val="24"/>
        </w:rPr>
        <w:t>，对部分患者的诊断和治疗造成不公，从而加剧已有的医疗资源不平等现象。</w:t>
      </w:r>
    </w:p>
    <w:p w14:paraId="30DFDB14">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此外，数据隐私保护问题同样不容忽视。患者的医疗信息涉及个人健康、遗传状况等敏感内容，天然具有极强的私密性和保护必要性。人工智能虽然在分析这些数据方面具有显著优势，但如何平衡数据使用效率和隐私安全、如何在确保医疗创新的同时尊重患者自主权，已成为当前必须应对的伦理挑战。有效的隐私保护机制与技术应用之间的张力，需要更多制度设计和行业共识来调和。</w:t>
      </w:r>
    </w:p>
    <w:p w14:paraId="2DC768C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在责任归属层面，传统医疗责任体系也面临新的</w:t>
      </w:r>
      <w:r>
        <w:rPr>
          <w:rFonts w:hint="default" w:ascii="Times New Roman" w:hAnsi="Times New Roman" w:eastAsia="宋体" w:cs="Times New Roman"/>
          <w:sz w:val="24"/>
          <w:szCs w:val="24"/>
          <w:lang w:val="en-US" w:eastAsia="zh-CN"/>
        </w:rPr>
        <w:t>挑战</w:t>
      </w:r>
      <w:r>
        <w:rPr>
          <w:rFonts w:hint="default" w:ascii="Times New Roman" w:hAnsi="Times New Roman" w:eastAsia="宋体" w:cs="Times New Roman"/>
          <w:sz w:val="24"/>
          <w:szCs w:val="24"/>
        </w:rPr>
        <w:t>。以往，医疗过程中的风险与责任主要由医生和医院承担。但随着人工智能深度参与临床决策，责任链条逐渐模糊化。例如，当AI辅助诊断出现错误时，责任究竟应归于开发算法的科技公司、采纳该系统的医疗机构，还是最终使用工具并作出临床判断的医生</w:t>
      </w:r>
      <w:r>
        <w:rPr>
          <w:rFonts w:hint="eastAsia" w:eastAsia="宋体" w:cs="Times New Roman"/>
          <w:sz w:val="24"/>
          <w:szCs w:val="24"/>
          <w:lang w:eastAsia="zh-CN"/>
        </w:rPr>
        <w:t>？</w:t>
      </w:r>
      <w:r>
        <w:rPr>
          <w:rFonts w:hint="default" w:ascii="Times New Roman" w:hAnsi="Times New Roman" w:eastAsia="宋体" w:cs="Times New Roman"/>
          <w:sz w:val="24"/>
          <w:szCs w:val="24"/>
        </w:rPr>
        <w:t>如果系统在技术上存在缺陷，开发者应承担怎样的责任？如果医生过度依赖算法而未进行独立复核，其责任又应如何认定？这些问题的背后，不仅是医疗实践模式的调整，更触及法律与伦理的根本框架。当前相关法律法规尚未充分适应这一技术转型，</w:t>
      </w:r>
      <w:r>
        <w:rPr>
          <w:rFonts w:hint="default" w:ascii="Times New Roman" w:hAnsi="Times New Roman" w:eastAsia="宋体" w:cs="Times New Roman"/>
          <w:sz w:val="24"/>
          <w:szCs w:val="24"/>
          <w:lang w:val="en-US" w:eastAsia="zh-CN"/>
        </w:rPr>
        <w:t>急需我们</w:t>
      </w:r>
      <w:r>
        <w:rPr>
          <w:rFonts w:hint="default" w:ascii="Times New Roman" w:hAnsi="Times New Roman" w:eastAsia="宋体" w:cs="Times New Roman"/>
          <w:sz w:val="24"/>
          <w:szCs w:val="24"/>
        </w:rPr>
        <w:t>从机制设计、权责分配、监管协调等方面进行系统性回应</w:t>
      </w:r>
      <w:r>
        <w:rPr>
          <w:rFonts w:hint="eastAsia" w:eastAsia="宋体" w:cs="Times New Roman"/>
          <w:sz w:val="24"/>
          <w:szCs w:val="24"/>
          <w:lang w:eastAsia="zh-CN"/>
        </w:rPr>
        <w:t>。</w:t>
      </w:r>
    </w:p>
    <w:p w14:paraId="529DF75A">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rPr>
      </w:pPr>
      <w:bookmarkStart w:id="4" w:name="_Toc16208"/>
      <w:r>
        <w:rPr>
          <w:rFonts w:hint="default" w:ascii="黑体" w:hAnsi="黑体" w:cs="黑体"/>
          <w:sz w:val="28"/>
          <w:szCs w:val="28"/>
          <w:lang w:val="en-US" w:eastAsia="zh-CN"/>
        </w:rPr>
        <w:t>二、国内外研究现状</w:t>
      </w:r>
      <w:bookmarkEnd w:id="4"/>
    </w:p>
    <w:p w14:paraId="2BE7D1B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5" w:name="_Toc10726"/>
      <w:r>
        <w:rPr>
          <w:rFonts w:hint="default" w:ascii="Times New Roman" w:hAnsi="Times New Roman" w:eastAsia="宋体" w:cs="Times New Roman"/>
          <w:sz w:val="24"/>
          <w:szCs w:val="24"/>
          <w:lang w:val="en-US" w:eastAsia="zh-CN"/>
        </w:rPr>
        <w:t>2.1 国内研究现状</w:t>
      </w:r>
      <w:bookmarkEnd w:id="5"/>
    </w:p>
    <w:p w14:paraId="16076F4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中国，人工智能与医疗领域的结合在伦理层面的系统性研究虽然起步相对较晚，但伴随着技术应用的快速推进，相关讨论近年来已明显升温。当前国内学界对医疗AI伦理的关注，主要围绕算法公平性、数据安全与隐私保护，以及系统决策的可解释性等核心议题展开。</w:t>
      </w:r>
    </w:p>
    <w:p w14:paraId="69883BDC">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在算法公平性方面，研究普遍注意到AI可能无意中延续甚至放大现实世界中存在的偏见。仝媛媛强调，用于训练人工智能模型的医疗数据本身可能内嵌社会性的结构偏见</w:t>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rPr>
        <w:t>。若数据样本缺乏对不同地域、年龄、性别或族群的代表性，由此训练出的模型在辅助影像诊断或疾病风险预测时，就容易产生有倾向性的判断，导致诊疗结果的不公。张艾一与王强芬进一步指出，偏见不仅源于数据样本的偏差，算法本身的设计逻辑与优化目标也可能引入新的不公</w:t>
      </w:r>
      <w:r>
        <w:rPr>
          <w:rFonts w:hint="default" w:ascii="Times New Roman" w:hAnsi="Times New Roman" w:eastAsia="宋体" w:cs="Times New Roman"/>
          <w:sz w:val="24"/>
          <w:szCs w:val="24"/>
          <w:vertAlign w:val="superscript"/>
        </w:rPr>
        <w:t>[2][3]</w:t>
      </w:r>
      <w:r>
        <w:rPr>
          <w:rFonts w:hint="default" w:ascii="Times New Roman" w:hAnsi="Times New Roman" w:eastAsia="宋体" w:cs="Times New Roman"/>
          <w:sz w:val="24"/>
          <w:szCs w:val="24"/>
        </w:rPr>
        <w:t>。特别是在某些特定病种或罕见病的诊断中，若训练数据本就稀少，算法更可能过度拟合特定人群特征，从而忽视其他群体的临床表现。</w:t>
      </w:r>
    </w:p>
    <w:p w14:paraId="36C172D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数据隐私与安全层面，随着医疗数据的大规模采集与共享，如何在利用数据提升AI效能的同时切实保护患者权益，已成为无法回避的挑战。丁春艳（2020）提醒，医疗AI系统依赖包含基因信息、详细病史等高度敏感的个人健康数据</w:t>
      </w:r>
      <w:r>
        <w:rPr>
          <w:rFonts w:hint="default" w:ascii="Times New Roman" w:hAnsi="Times New Roman" w:eastAsia="宋体" w:cs="Times New Roman"/>
          <w:sz w:val="24"/>
          <w:szCs w:val="24"/>
          <w:vertAlign w:val="superscript"/>
        </w:rPr>
        <w:t>[4]</w:t>
      </w:r>
      <w:r>
        <w:rPr>
          <w:rFonts w:hint="default" w:ascii="Times New Roman" w:hAnsi="Times New Roman" w:eastAsia="宋体" w:cs="Times New Roman"/>
          <w:sz w:val="24"/>
          <w:szCs w:val="24"/>
        </w:rPr>
        <w:t>。确保这些数据在存储、处理及流转过程中的安全，防止泄露与滥用，是技术得以合规应用的前提。刁生富与赵广立的研究则指出，尽管中国已出台《个人信息保护法》等相关法规，但在医疗健康这一特殊领域，数据的权属界定、匿名化标准、跨机构使用规范等具体环节仍存在法律与实践的空白，亟待更精细的规则予以完善</w:t>
      </w:r>
      <w:r>
        <w:rPr>
          <w:rFonts w:hint="default" w:ascii="Times New Roman" w:hAnsi="Times New Roman" w:eastAsia="宋体" w:cs="Times New Roman"/>
          <w:sz w:val="24"/>
          <w:szCs w:val="24"/>
          <w:vertAlign w:val="superscript"/>
        </w:rPr>
        <w:t>[5][6]</w:t>
      </w:r>
      <w:r>
        <w:rPr>
          <w:rFonts w:hint="default" w:ascii="Times New Roman" w:hAnsi="Times New Roman" w:eastAsia="宋体" w:cs="Times New Roman"/>
          <w:sz w:val="24"/>
          <w:szCs w:val="24"/>
        </w:rPr>
        <w:t>。</w:t>
      </w:r>
    </w:p>
    <w:p w14:paraId="2FB0A95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就AI决策的可解释性而言，其</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黑箱</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特性是阻碍医患双方建立信任的主要障碍。钟子珊指出，许多基于深度学习的医疗AI系统尽管能给出高准确率的输出，但其内部决策逻辑往往难以追溯和说明</w:t>
      </w:r>
      <w:r>
        <w:rPr>
          <w:rFonts w:hint="default" w:ascii="Times New Roman" w:hAnsi="Times New Roman" w:eastAsia="宋体" w:cs="Times New Roman"/>
          <w:sz w:val="24"/>
          <w:szCs w:val="24"/>
          <w:vertAlign w:val="superscript"/>
        </w:rPr>
        <w:t>[7]</w:t>
      </w:r>
      <w:r>
        <w:rPr>
          <w:rFonts w:hint="default" w:ascii="Times New Roman" w:hAnsi="Times New Roman" w:eastAsia="宋体" w:cs="Times New Roman"/>
          <w:sz w:val="24"/>
          <w:szCs w:val="24"/>
        </w:rPr>
        <w:t>。这种不透明性使得医生在使用建议时心存疑虑，患者也可能因无法理解而拒绝接受AI辅助的诊疗方案。因此，提升系统的可解释性与过程透明度，被视为推动AI被临床真正接纳的关键一环。</w:t>
      </w:r>
    </w:p>
    <w:p w14:paraId="10D4B936">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相较之下，关于AI医疗责任归属的探讨在国内尚处于起步阶段，但重要性日益凸显。赵德馨（2024）在其研究中提出，当AI辅助决策出现失误并导致损害时，如何在法律上清晰界定责任，目前仍是一个悬而未决的难题</w:t>
      </w:r>
      <w:r>
        <w:rPr>
          <w:rFonts w:hint="default" w:ascii="Times New Roman" w:hAnsi="Times New Roman" w:eastAsia="宋体" w:cs="Times New Roman"/>
          <w:sz w:val="24"/>
          <w:szCs w:val="24"/>
          <w:vertAlign w:val="superscript"/>
        </w:rPr>
        <w:t>[8]</w:t>
      </w:r>
      <w:r>
        <w:rPr>
          <w:rFonts w:hint="default" w:ascii="Times New Roman" w:hAnsi="Times New Roman" w:eastAsia="宋体" w:cs="Times New Roman"/>
          <w:sz w:val="24"/>
          <w:szCs w:val="24"/>
        </w:rPr>
        <w:t>。传统的医疗责任主要围绕医务人员与医疗机构展开，而AI的介入使得责任主体变得多元且模糊。郭建、李亚楠等学者认为，在具体纠纷中，责任应根据不同情况在开发者、使用AI的医生及所属医院之间进行合理划分</w:t>
      </w:r>
      <w:r>
        <w:rPr>
          <w:rFonts w:hint="default" w:ascii="Times New Roman" w:hAnsi="Times New Roman" w:eastAsia="宋体" w:cs="Times New Roman"/>
          <w:sz w:val="24"/>
          <w:szCs w:val="24"/>
          <w:vertAlign w:val="superscript"/>
        </w:rPr>
        <w:t>[9][10]</w:t>
      </w:r>
      <w:r>
        <w:rPr>
          <w:rFonts w:hint="default" w:ascii="Times New Roman" w:hAnsi="Times New Roman" w:eastAsia="宋体" w:cs="Times New Roman"/>
          <w:sz w:val="24"/>
          <w:szCs w:val="24"/>
        </w:rPr>
        <w:t>。然而，现有法律框架尚未对AI作为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特殊参与者</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的情形做出明确、系统的规定，这构成了未来制度构建的重要方向。</w:t>
      </w:r>
    </w:p>
    <w:p w14:paraId="0FF63BB8">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6" w:name="_Toc2707"/>
      <w:r>
        <w:rPr>
          <w:rFonts w:hint="default" w:ascii="Times New Roman" w:hAnsi="Times New Roman" w:eastAsia="宋体" w:cs="Times New Roman"/>
          <w:sz w:val="24"/>
          <w:szCs w:val="24"/>
          <w:lang w:val="en-US" w:eastAsia="zh-CN"/>
        </w:rPr>
        <w:t>2.2 国际研究现状</w:t>
      </w:r>
      <w:bookmarkEnd w:id="6"/>
    </w:p>
    <w:p w14:paraId="7BD8AA9C">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在国际学术界，医疗人工智能的伦理与责任议题早已超越初步探讨，形成了较为丰富的理论研究与实证分析体系。</w:t>
      </w:r>
    </w:p>
    <w:p w14:paraId="43DD1BC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算法公平性始终是全球关注的焦点。学者如Ning Y等深入剖析了算法偏见机制，指出训练数据中若存在社会结构性偏差，AI系统可能进一步固化甚至放大医疗资源分配上的不平等</w:t>
      </w:r>
      <w:r>
        <w:rPr>
          <w:rFonts w:hint="default" w:ascii="Times New Roman" w:hAnsi="Times New Roman" w:eastAsia="宋体" w:cs="Times New Roman"/>
          <w:sz w:val="24"/>
          <w:szCs w:val="24"/>
          <w:vertAlign w:val="superscript"/>
        </w:rPr>
        <w:t>[11]</w:t>
      </w:r>
      <w:r>
        <w:rPr>
          <w:rFonts w:hint="default" w:ascii="Times New Roman" w:hAnsi="Times New Roman" w:eastAsia="宋体" w:cs="Times New Roman"/>
          <w:sz w:val="24"/>
          <w:szCs w:val="24"/>
        </w:rPr>
        <w:t>。具体到临床实践，如果用于训练诊断模型的数据集在种族、性别或年龄维度上缺乏代表性，其输出结果就可能对特定群体产生系统性误判。Binns等研究则进一步从技术与方法层面切入，探讨了如何通过改进数据收集策略与优化算法设计，从源头上缓解此类偏见的影响。</w:t>
      </w:r>
    </w:p>
    <w:p w14:paraId="286E0895">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数据隐私与安全保护方面，国际社会已形成较为严格的监管共识。以欧盟《通用数据保护条例》（GDPR）为代表的法律框架，明确要求在使用医疗数据时必须遵循匿名化处理与知情同意原则。与此同时，AI决策的透明度与可解释性亦是国际研究的重点方向。Caruana等学者强调，尽管以深度学习为代表的AI技术在医学影像识别等领域表现卓越，但其内在的“黑箱”特性严重阻碍了临床医生对其决策逻辑的理解与验证。因此，如何开发与采用可解释的AI模型，使决策过程变得可追溯、可理解，成为推动相关技术真正融入临床实践的关键。</w:t>
      </w:r>
    </w:p>
    <w:p w14:paraId="53DA6EE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于AI引发医疗损害时的责任归属，国际学界普遍认为这已成为一个横跨法律、伦理与治理的复合型难题。Lin等研究者主张，在多数情况下，责任应由AI系统的开发者与临床使用者共同承担，而既有医疗法律体系须进行针对性修订，以明晰各方在新型人机协作模式下的权责边界。O'Neil等则进一步从监管角度提出，政府部门有必要建立适应AI技术特点的审慎监管框架，通过强制披露、算法审计与标准制定等方式提升系统透明度，并为可能出现的责任纠纷提供清晰的法律裁决依据。</w:t>
      </w:r>
    </w:p>
    <w:p w14:paraId="01750A0A">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上，通过对国内外研究现状的梳理可见，人工智能在医疗决策中引发的伦理与责任议题，已成为全球学界共同关注的焦点。当前研究呈现出一定的地域侧重：国内探讨较多集中于算法公平性、数据安全与隐私保护等基础性伦理框架；而国际讨论则更进一步，深入至AI决策的透明度、可解释性以及责任归属等操作与制度层面。尽管已有不少学者从技术、伦理与法律角度提出应对思路，但如何将这些理论方案转化为可落地、可持续的治理实践，系统性地回应人机协作中的权责分配与信任建构，仍是未来亟待突破的研究方向。</w:t>
      </w:r>
      <w:bookmarkStart w:id="7" w:name="_Toc28268"/>
    </w:p>
    <w:p w14:paraId="42BF5A86">
      <w:pPr>
        <w:pStyle w:val="11"/>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黑体" w:hAnsi="黑体" w:cs="黑体"/>
          <w:sz w:val="28"/>
          <w:szCs w:val="28"/>
          <w:lang w:val="en-US" w:eastAsia="zh-CN"/>
        </w:rPr>
      </w:pPr>
    </w:p>
    <w:p w14:paraId="1056EB3C">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黑体" w:hAnsi="黑体" w:cs="黑体"/>
          <w:sz w:val="28"/>
          <w:szCs w:val="28"/>
          <w:lang w:val="en-US" w:eastAsia="zh-CN"/>
        </w:rPr>
      </w:pPr>
      <w:r>
        <w:rPr>
          <w:rFonts w:hint="default" w:ascii="黑体" w:hAnsi="黑体" w:cs="黑体"/>
          <w:sz w:val="28"/>
          <w:szCs w:val="28"/>
          <w:lang w:val="en-US" w:eastAsia="zh-CN"/>
        </w:rPr>
        <w:t>三、人工智能决策系统的伦理与责任问题的案例与分析</w:t>
      </w:r>
      <w:bookmarkEnd w:id="7"/>
    </w:p>
    <w:p w14:paraId="0BB0190A">
      <w:pPr>
        <w:pStyle w:val="11"/>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b/>
          <w:bCs/>
          <w:kern w:val="44"/>
          <w:sz w:val="24"/>
          <w:szCs w:val="24"/>
          <w:lang w:val="en-US" w:eastAsia="zh-CN" w:bidi="ar-SA"/>
        </w:rPr>
      </w:pPr>
      <w:r>
        <w:rPr>
          <w:rFonts w:hint="default" w:ascii="Times New Roman" w:hAnsi="Times New Roman" w:eastAsia="宋体" w:cs="Times New Roman"/>
          <w:b/>
          <w:bCs/>
          <w:kern w:val="44"/>
          <w:sz w:val="24"/>
          <w:szCs w:val="24"/>
          <w:lang w:val="en-US" w:eastAsia="zh-CN" w:bidi="ar-SA"/>
        </w:rPr>
        <w:t>3.</w:t>
      </w:r>
      <w:r>
        <w:rPr>
          <w:rFonts w:hint="eastAsia" w:ascii="Times New Roman" w:hAnsi="Times New Roman" w:eastAsia="宋体" w:cs="Times New Roman"/>
          <w:b/>
          <w:bCs/>
          <w:kern w:val="44"/>
          <w:sz w:val="24"/>
          <w:szCs w:val="24"/>
          <w:lang w:val="en-US" w:eastAsia="zh-CN" w:bidi="ar-SA"/>
        </w:rPr>
        <w:t>1</w:t>
      </w:r>
      <w:r>
        <w:rPr>
          <w:rFonts w:hint="default" w:ascii="Times New Roman" w:hAnsi="Times New Roman" w:eastAsia="宋体" w:cs="Times New Roman"/>
          <w:b/>
          <w:bCs/>
          <w:kern w:val="44"/>
          <w:sz w:val="24"/>
          <w:szCs w:val="24"/>
          <w:lang w:val="en-US" w:eastAsia="zh-CN" w:bidi="ar-SA"/>
        </w:rPr>
        <w:t xml:space="preserve"> IBM Watson for Oncology（沃森肿瘤解决方案）的算法偏见与医疗AI公平性困境</w:t>
      </w:r>
      <w:bookmarkStart w:id="8" w:name="_Toc23043"/>
    </w:p>
    <w:p w14:paraId="0C942DA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2018年前后，IBM推出的旗舰医疗AI产品Watson for Oncology（沃森肿瘤解决方案）引发全球争议，暴露出算法偏见与数据代表性不足的严重问题。该系统旨在通过海量医学文献与临床数据为患者提供个性化癌症治疗方案，曾被宣传为“肿瘤医生的超级助手”。但实际应用中，其诊疗建议高度偏向美国纪念斯隆-凯特琳癌症中心（MSKCC）的患者特征——以高加索人种、英语语境病例为主，对亚洲、非洲等地区患者的特殊病理类型（如罕见亚型癌症）考虑不足，对发展中国家常用的廉价药也缺乏适配。例如，日本合作医院反馈，Watson推荐的胃癌药物部分不在日本医保目录中，且未按亚洲人群基因特征调整剂量；对晚期患者的“激进化疗”建议，还与日本“优先舒缓治疗”的临床指南冲突。尽管IBM事后调整算法权重、扩展数据来源，但事件仍引发对医疗AI公平性的广泛质疑，凸显算法偏见对患者健康的实质危害。</w:t>
      </w:r>
    </w:p>
    <w:p w14:paraId="52F10D24">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问题根源在于训练数据的结构性偏差：系统过度依赖MSKCC病例（占训练集主体），未充分纳入不同种族、经济水平、医疗体系的患者数据。其“最优方案”本质是MSKCC特定人群（高加索人种、发达国家患者）的局部经验，而非普适方案。当应用于其他地区患者时，因病理特征、药物可及性、治疗偏好（如日本倾向舒缓治疗）差异，推荐方案与实际情况严重脱节，可能导致治疗无效、药物不可及或延误病情，本质是对少数群体或非主流医疗体系的系统性歧视。</w:t>
      </w:r>
    </w:p>
    <w:p w14:paraId="27A9296C">
      <w:pPr>
        <w:pStyle w:val="2"/>
        <w:keepNext/>
        <w:keepLines/>
        <w:pageBreakBefore w:val="0"/>
        <w:widowControl w:val="0"/>
        <w:numPr>
          <w:ilvl w:val="0"/>
          <w:numId w:val="0"/>
        </w:numPr>
        <w:kinsoku/>
        <w:wordWrap/>
        <w:overflowPunct/>
        <w:topLinePunct w:val="0"/>
        <w:autoSpaceDE/>
        <w:autoSpaceDN/>
        <w:bidi w:val="0"/>
        <w:adjustRightInd/>
        <w:snapToGrid/>
        <w:spacing w:line="300" w:lineRule="auto"/>
        <w:ind w:left="0" w:leftChars="0" w:right="0" w:rightChars="0" w:firstLine="420" w:firstLineChars="0"/>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此案为医疗AI公平性敲响警钟：医疗数据涵盖不同群体的病理与治疗关键信息，若训练数据缺乏代表性，将导致特定群体诊断不准、治疗失配，加剧健康不平等。当前AI深度融入诊疗，开发者需摒弃“唯准确率论”，从数据收集阶段即纳入多元人群样本，建立跨种族、地域、经济水平的协作机制，通过持续性公平性审计与偏差检测，确保AI对所有患者（无论种族、地域、经济状况）提供可靠建议。这不仅是技术要求，更是伦理底线——医疗AI发展不能以牺牲任何群体健康权益为代价。</w:t>
      </w:r>
    </w:p>
    <w:p w14:paraId="6F17D5F3">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黑体" w:hAnsi="黑体" w:cs="黑体"/>
          <w:sz w:val="28"/>
          <w:szCs w:val="28"/>
          <w:lang w:val="en-US" w:eastAsia="zh-CN"/>
        </w:rPr>
      </w:pPr>
      <w:r>
        <w:rPr>
          <w:rFonts w:hint="default" w:ascii="黑体" w:hAnsi="黑体" w:cs="黑体"/>
          <w:sz w:val="28"/>
          <w:szCs w:val="28"/>
          <w:lang w:val="en-US" w:eastAsia="zh-CN"/>
        </w:rPr>
        <w:t>四、结论与建议</w:t>
      </w:r>
      <w:bookmarkEnd w:id="8"/>
    </w:p>
    <w:p w14:paraId="73F235FA">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人工智能技术在医疗领域的应用日益深化，其在提升诊断精度、优化临床效率、增强决策支持等方面展现出显著优势。然而，这一技术融合不仅带来了工具层面的革新，更在伦理边界、法律框架与社会责任等深层维度上引发了系统性追问。人工智能已不再仅仅是辅助工具，而是逐步成为医疗决策链中具有自主判断能力的关键参与者，这使得医疗实践的主体关系、责任结构与信任基础发生了根本性变化。这一技术融合不仅带来了工具层面的革新，更在伦理边界、法律框架与社会责任等深层维度上引发了系统性追问。</w:t>
      </w:r>
    </w:p>
    <w:p w14:paraId="3CA1FC3F">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9" w:name="_Toc16341"/>
      <w:r>
        <w:rPr>
          <w:rFonts w:hint="default"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 xml:space="preserve"> 解决方案</w:t>
      </w:r>
      <w:bookmarkEnd w:id="9"/>
    </w:p>
    <w:p w14:paraId="33A8AE78">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在推进医疗人工智能的实践中，为确保其真正成为可靠、公平且负责任的辅助工具，必须从以下几个</w:t>
      </w:r>
      <w:r>
        <w:rPr>
          <w:rFonts w:hint="eastAsia" w:eastAsia="宋体" w:cs="Times New Roman"/>
          <w:sz w:val="24"/>
          <w:szCs w:val="24"/>
          <w:lang w:val="en-US" w:eastAsia="zh-CN"/>
        </w:rPr>
        <w:t>方面</w:t>
      </w:r>
      <w:r>
        <w:rPr>
          <w:rFonts w:hint="default" w:ascii="Times New Roman" w:hAnsi="Times New Roman" w:eastAsia="宋体" w:cs="Times New Roman"/>
          <w:sz w:val="24"/>
          <w:szCs w:val="24"/>
        </w:rPr>
        <w:t>构建治理框架：</w:t>
      </w:r>
    </w:p>
    <w:p w14:paraId="694F19B9">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首先，我们应该</w:t>
      </w:r>
      <w:r>
        <w:rPr>
          <w:rFonts w:hint="default" w:ascii="Times New Roman" w:hAnsi="Times New Roman" w:eastAsia="宋体" w:cs="Times New Roman"/>
          <w:sz w:val="24"/>
          <w:szCs w:val="24"/>
        </w:rPr>
        <w:t>构建包容性数据体系</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从而</w:t>
      </w:r>
      <w:r>
        <w:rPr>
          <w:rFonts w:hint="default" w:ascii="Times New Roman" w:hAnsi="Times New Roman" w:eastAsia="宋体" w:cs="Times New Roman"/>
          <w:sz w:val="24"/>
          <w:szCs w:val="24"/>
        </w:rPr>
        <w:t>消除算法偏见</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医疗AI的公平性首先建立在训练数据的广泛代表性与结构均衡之上。应在数据采集环节主动纳入不同性别、种族、年龄、地域及社会经济背景的群体样本，建立跨机构、跨地域的多中心数据协作机制。通过使用合成数据、迁移学习等技术手段，可在保护隐私的前提下增强少数群体数据的表征能力。同时，需建立数据偏差动态监测机制，在模型开发全周期进行公平性审计，确保算法在不同人群中均保持稳定的诊断性能，避免因数据片面而导致健康不平等加剧。</w:t>
      </w:r>
    </w:p>
    <w:p w14:paraId="1E867560">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推动可解释AI与临床决策透明化</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AI系统的临床接受度根本上取决于其决策过程的可理解性。应在模型设计阶段优先选择具有内在可解释性的架构，或借助LIME、SHAP等事后解释工具，生成面向临床医生的可视化决策依据。医疗AI系统应提供清晰的置信度指示与局限性说明，并记录完整的决策日志以供审查。AI始终应被定位为“增强临床智能”的辅助工具，其输出必须经过医生的专业审慎判断，形成人机协同、相互校验的最终决策。</w:t>
      </w:r>
    </w:p>
    <w:p w14:paraId="53511FC6">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最后，需</w:t>
      </w:r>
      <w:r>
        <w:rPr>
          <w:rFonts w:hint="default" w:ascii="Times New Roman" w:hAnsi="Times New Roman" w:eastAsia="宋体" w:cs="Times New Roman"/>
          <w:sz w:val="24"/>
          <w:szCs w:val="24"/>
        </w:rPr>
        <w:t>确立权责清晰的多方责任分配机制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面对AI医疗可能引发的责任纠纷，须构建覆盖开发、部署与使用全链条的责任框架。立法层面应明确：开发者对算法缺陷及数据质量负有主体责任；医疗机构承担系统选择、临床验证与流程监督的管理责任；医生保有对最终诊断决策的专业裁量权与相应责任。建议推行AI医疗责任保险与行业共担基金，并建立第三方算法认证与持续监测制度，形成法律、伦理与市场机制相结合的综合治理体系。</w:t>
      </w:r>
    </w:p>
    <w:p w14:paraId="65EC512B">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工智能在医疗领域的深入应用，既是技术问题，更是治理课题。只有通过构建包容的数据基础、坚固的隐私防线、透明的决策机制以及清晰的责任框架，才能引导医疗AI走向真正安全、公平、可信的发展道路，使其在提升诊疗水平的同时，成为促进健康公平、增强医患信任的积极力量。未来，随着技术迭代与制度完善的协同推进，人工智能有望在守护人类健康的征程中扮演更为关键而审慎的角色。</w:t>
      </w:r>
    </w:p>
    <w:p w14:paraId="16BB997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rPr>
      </w:pPr>
    </w:p>
    <w:p w14:paraId="717B3DA1">
      <w:pPr>
        <w:pStyle w:val="2"/>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rPr>
      </w:pPr>
      <w:bookmarkStart w:id="10" w:name="_Toc9673"/>
      <w:r>
        <w:rPr>
          <w:rFonts w:hint="default" w:ascii="Times New Roman" w:hAnsi="Times New Roman" w:eastAsia="宋体" w:cs="Times New Roman"/>
          <w:sz w:val="24"/>
          <w:szCs w:val="24"/>
        </w:rPr>
        <w:t>参考文献</w:t>
      </w:r>
      <w:bookmarkEnd w:id="10"/>
    </w:p>
    <w:p w14:paraId="1FF83DB4">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仝媛媛,郑婉婷,黄珊蓉,等.健康公平：医疗人工智能中的偏见与治理[J].医学与哲学,2024,45(07):36-41.</w:t>
      </w:r>
    </w:p>
    <w:p w14:paraId="1163F1BE">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张艾一,余中光.基于国内外政策分析的医疗人工智能伦理风险治理研究[J].中国医学伦理学,2024,37(09):1061-1067.</w:t>
      </w:r>
    </w:p>
    <w:p w14:paraId="423DC736">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王强芬.大数据时代背景下医疗隐私保护的伦理困境及实现途径[J].中国医学伦理学,2016,29(04):685-689.</w:t>
      </w:r>
    </w:p>
    <w:p w14:paraId="57103D81">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丁春艳.医疗领域的人工智能:法律问题与规管挑战[J].中国医学伦理学,2020,33(07):887-896.陈辉. (2021). 医疗AI决策透明度问题研究. 信息与控制, 50(5), 509-514.</w:t>
      </w:r>
    </w:p>
    <w:p w14:paraId="2514645E">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赵广立.“AI+医疗影像”：智慧医疗突破口[N].中国科学报,2017-04-13(006).</w:t>
      </w:r>
    </w:p>
    <w:p w14:paraId="1A5B3036">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刁生富,刘芳.人工智能的司法实践：价值评价与局限超越[J].探求,2022,(02):101-109+120.</w:t>
      </w:r>
    </w:p>
    <w:p w14:paraId="375534BA">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钟子珊.医疗人工智能的伦理风险与应对策略研究[D].广州中医药大学,2023.</w:t>
      </w:r>
    </w:p>
    <w:p w14:paraId="5AD48462">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赵德馨,徐梓康,周少华.从影像到智能:医学影像分析中的医学人工智能伦理问题[J].人工智能,2024,(04):18-36.</w:t>
      </w:r>
    </w:p>
    <w:p w14:paraId="25E78203">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郭建.健康医疗大数据应用中的伦理问题及其治理思考[J].自然辩证法研究,2020,36(03):85-90.</w:t>
      </w:r>
    </w:p>
    <w:p w14:paraId="3D7381D6">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李亚楠.人工智能参与医疗决策的伦理研究[D].天津医科大学,2021.</w:t>
      </w:r>
    </w:p>
    <w:p w14:paraId="26E87508">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Ning Y , Teixayavong S , Shang Y ,et al.Generative Artificial Intelligence in Healthcare: Ethical Considerations and Assessment Checklist[J]. 2023.</w:t>
      </w:r>
    </w:p>
    <w:p w14:paraId="5C6E75DC">
      <w:pPr>
        <w:widowControl/>
        <w:tabs>
          <w:tab w:val="left" w:pos="420"/>
        </w:tabs>
        <w:spacing w:line="300" w:lineRule="auto"/>
        <w:jc w:val="left"/>
        <w:rPr>
          <w:rFonts w:hint="default" w:ascii="Times New Roman" w:hAnsi="Times New Roman" w:eastAsia="宋体" w:cs="Times New Roman"/>
          <w:color w:val="000000"/>
          <w:sz w:val="24"/>
          <w:szCs w:val="24"/>
        </w:rPr>
      </w:pPr>
    </w:p>
    <w:p w14:paraId="595D07A8">
      <w:pPr>
        <w:widowControl/>
        <w:tabs>
          <w:tab w:val="left" w:pos="420"/>
        </w:tabs>
        <w:spacing w:line="300" w:lineRule="auto"/>
        <w:jc w:val="left"/>
        <w:rPr>
          <w:rFonts w:hint="default" w:ascii="Times New Roman" w:hAnsi="Times New Roman" w:eastAsia="宋体" w:cs="Times New Roman"/>
          <w:color w:val="000000"/>
          <w:sz w:val="24"/>
          <w:szCs w:val="24"/>
        </w:rPr>
      </w:pPr>
    </w:p>
    <w:p w14:paraId="2D762742">
      <w:pPr>
        <w:widowControl/>
        <w:tabs>
          <w:tab w:val="left" w:pos="420"/>
        </w:tabs>
        <w:spacing w:line="300" w:lineRule="auto"/>
        <w:jc w:val="left"/>
        <w:rPr>
          <w:rFonts w:hint="default" w:ascii="Times New Roman" w:hAnsi="Times New Roman" w:eastAsia="宋体" w:cs="Times New Roman"/>
          <w:color w:val="000000"/>
          <w:sz w:val="24"/>
          <w:szCs w:val="24"/>
        </w:rPr>
      </w:pPr>
    </w:p>
    <w:p w14:paraId="17C5712F">
      <w:pPr>
        <w:widowControl/>
        <w:tabs>
          <w:tab w:val="left" w:pos="420"/>
        </w:tabs>
        <w:spacing w:line="300" w:lineRule="auto"/>
        <w:jc w:val="left"/>
        <w:rPr>
          <w:rFonts w:hint="default" w:ascii="Times New Roman" w:hAnsi="Times New Roman" w:eastAsia="宋体" w:cs="Times New Roman"/>
          <w:color w:val="000000"/>
          <w:sz w:val="24"/>
          <w:szCs w:val="24"/>
        </w:rPr>
      </w:pPr>
    </w:p>
    <w:p w14:paraId="55AC8C89">
      <w:pPr>
        <w:widowControl/>
        <w:tabs>
          <w:tab w:val="left" w:pos="420"/>
        </w:tabs>
        <w:spacing w:line="300" w:lineRule="auto"/>
        <w:jc w:val="left"/>
        <w:rPr>
          <w:rFonts w:hint="default" w:ascii="Times New Roman" w:hAnsi="Times New Roman" w:eastAsia="宋体" w:cs="Times New Roman"/>
          <w:color w:val="000000"/>
          <w:sz w:val="24"/>
          <w:szCs w:val="24"/>
        </w:rPr>
      </w:pPr>
    </w:p>
    <w:p w14:paraId="4CE38D22">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22900" cy="7661910"/>
            <wp:effectExtent l="0" t="0" r="6985" b="2540"/>
            <wp:docPr id="1" name="图片 1" descr="{RE]7K6P~P4S)1]`@LP3U0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7K6P~P4S)1]`@LP3U0J"/>
                    <pic:cNvPicPr>
                      <a:picLocks noChangeAspect="1"/>
                    </pic:cNvPicPr>
                  </pic:nvPicPr>
                  <pic:blipFill>
                    <a:blip r:embed="rId5"/>
                    <a:stretch>
                      <a:fillRect/>
                    </a:stretch>
                  </pic:blipFill>
                  <pic:spPr>
                    <a:xfrm>
                      <a:off x="0" y="0"/>
                      <a:ext cx="5422900" cy="7661910"/>
                    </a:xfrm>
                    <a:prstGeom prst="rect">
                      <a:avLst/>
                    </a:prstGeom>
                  </pic:spPr>
                </pic:pic>
              </a:graphicData>
            </a:graphic>
          </wp:inline>
        </w:drawing>
      </w:r>
      <w:bookmarkStart w:id="11" w:name="_GoBack"/>
      <w:bookmarkEnd w:id="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662F8"/>
    <w:multiLevelType w:val="singleLevel"/>
    <w:tmpl w:val="904662F8"/>
    <w:lvl w:ilvl="0" w:tentative="0">
      <w:start w:val="1"/>
      <w:numFmt w:val="decimal"/>
      <w:lvlText w:val="[%1]"/>
      <w:lvlJc w:val="left"/>
      <w:pPr>
        <w:tabs>
          <w:tab w:val="left" w:pos="420"/>
        </w:tabs>
        <w:ind w:left="425" w:leftChars="0" w:hanging="425" w:firstLineChars="0"/>
      </w:pPr>
      <w:rPr>
        <w:rFonts w:hint="default"/>
      </w:rPr>
    </w:lvl>
  </w:abstractNum>
  <w:abstractNum w:abstractNumId="1">
    <w:nsid w:val="A663D476"/>
    <w:multiLevelType w:val="singleLevel"/>
    <w:tmpl w:val="A663D476"/>
    <w:lvl w:ilvl="0" w:tentative="0">
      <w:start w:val="1"/>
      <w:numFmt w:val="decimal"/>
      <w:pStyle w:val="4"/>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E0A94"/>
    <w:rsid w:val="17681CF4"/>
    <w:rsid w:val="22F06E95"/>
    <w:rsid w:val="2ABA5B02"/>
    <w:rsid w:val="2F886FB4"/>
    <w:rsid w:val="3C791C9E"/>
    <w:rsid w:val="42B50C9F"/>
    <w:rsid w:val="537E0A94"/>
    <w:rsid w:val="6FDC5069"/>
    <w:rsid w:val="774B2F51"/>
    <w:rsid w:val="7EE46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outlineLvl w:val="0"/>
    </w:pPr>
    <w:rPr>
      <w:rFonts w:eastAsia="黑体"/>
      <w:b/>
      <w:bCs/>
      <w:kern w:val="44"/>
      <w:sz w:val="32"/>
      <w:szCs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sz w:val="30"/>
    </w:rPr>
  </w:style>
  <w:style w:type="paragraph" w:styleId="4">
    <w:name w:val="heading 3"/>
    <w:basedOn w:val="1"/>
    <w:next w:val="1"/>
    <w:semiHidden/>
    <w:unhideWhenUsed/>
    <w:qFormat/>
    <w:uiPriority w:val="0"/>
    <w:pPr>
      <w:keepNext/>
      <w:keepLines/>
      <w:numPr>
        <w:ilvl w:val="0"/>
        <w:numId w:val="1"/>
      </w:numPr>
      <w:spacing w:before="260" w:beforeLines="0" w:after="260" w:afterLines="0" w:line="413" w:lineRule="auto"/>
      <w:outlineLvl w:val="2"/>
    </w:pPr>
    <w:rPr>
      <w:rFonts w:ascii="Times New Roman" w:hAnsi="Times New Roman" w:eastAsia="宋体"/>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toc 1"/>
    <w:basedOn w:val="1"/>
    <w:next w:val="1"/>
    <w:unhideWhenUsed/>
    <w:qFormat/>
    <w:uiPriority w:val="39"/>
  </w:style>
  <w:style w:type="paragraph" w:styleId="6">
    <w:name w:val="toc 2"/>
    <w:basedOn w:val="1"/>
    <w:next w:val="1"/>
    <w:unhideWhenUsed/>
    <w:qFormat/>
    <w:uiPriority w:val="39"/>
    <w:pPr>
      <w:ind w:left="420" w:leftChars="200"/>
    </w:pPr>
  </w:style>
  <w:style w:type="paragraph" w:customStyle="1" w:styleId="9">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54A1" w:themeColor="accent1" w:themeShade="BF"/>
      <w:kern w:val="0"/>
      <w:szCs w:val="32"/>
    </w:rPr>
  </w:style>
  <w:style w:type="character" w:customStyle="1" w:styleId="10">
    <w:name w:val="南邮正文 Char"/>
    <w:link w:val="11"/>
    <w:qFormat/>
    <w:uiPriority w:val="0"/>
    <w:rPr>
      <w:rFonts w:ascii="Times New Roman" w:hAnsi="Times New Roman"/>
    </w:rPr>
  </w:style>
  <w:style w:type="paragraph" w:customStyle="1" w:styleId="11">
    <w:name w:val="南邮正文"/>
    <w:basedOn w:val="1"/>
    <w:link w:val="10"/>
    <w:qFormat/>
    <w:uiPriority w:val="0"/>
    <w:pPr>
      <w:spacing w:line="300" w:lineRule="auto"/>
    </w:pPr>
    <w:rPr>
      <w:rFonts w:ascii="Times New Roman" w:hAnsi="Times New Roman"/>
    </w:rPr>
  </w:style>
  <w:style w:type="character" w:customStyle="1" w:styleId="12">
    <w:name w:val="南邮一级标题 Char"/>
    <w:link w:val="13"/>
    <w:qFormat/>
    <w:uiPriority w:val="0"/>
    <w:rPr>
      <w:rFonts w:eastAsia="黑体"/>
      <w:sz w:val="28"/>
    </w:rPr>
  </w:style>
  <w:style w:type="paragraph" w:customStyle="1" w:styleId="13">
    <w:name w:val="南邮一级标题"/>
    <w:basedOn w:val="1"/>
    <w:link w:val="12"/>
    <w:qFormat/>
    <w:uiPriority w:val="0"/>
    <w:pPr>
      <w:spacing w:line="240" w:lineRule="auto"/>
    </w:pPr>
    <w:rPr>
      <w:rFonts w:eastAsia="黑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6414</Words>
  <Characters>7001</Characters>
  <Lines>0</Lines>
  <Paragraphs>0</Paragraphs>
  <TotalTime>58</TotalTime>
  <ScaleCrop>false</ScaleCrop>
  <LinksUpToDate>false</LinksUpToDate>
  <CharactersWithSpaces>7222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2025-12-28T07:05:00Z</dcterms:created>
  <dc:creator>zhh</dc:creator>
  <cp:lastModifiedBy>林艺森</cp:lastModifiedBy>
  <dcterms:modified xsi:type="dcterms:W3CDTF">2025-12-29T02:59:05Z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DC1435F1C65B481A80A88E91294A948B_11</vt:lpwstr>
  </property>
  <property fmtid="{D5CDD505-2E9C-101B-9397-08002B2CF9AE}" pid="4" name="KSOTemplateDocerSaveRecord">
    <vt:lpwstr>eyJoZGlkIjoiZjFmZWIzNDg2MmIzZjExOTIzMmViNTBmYTMwYTk0ZWYiLCJ1c2VySWQiOiIxNTU2OTE2NjQ3In0=</vt:lpwstr>
  </property>
</Properties>
</file>