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Kịch bản và biên bản Review 1 Group2</w:t>
      </w:r>
    </w:p>
    <w:p>
      <w:r>
        <w:t>P01 IT Helpdesk và Security Monitoring. Nguyễn Trọng Khiêm tổng hợp hồ sơ ngày 29 tháng 10 năm 2026. Bản này hỗ trợ chuẩn bị, dẫn phần trình bày và ghi quyết định trong buổi Review 1. Thời gian họp và xác nhận phạm vi hiện còn chờ giảng viên.</w:t>
      </w:r>
    </w:p>
    <w:p>
      <w:pPr>
        <w:pStyle w:val="Heading1"/>
        <w:keepNext/>
      </w:pPr>
      <w:r>
        <w:rPr>
          <w:color w:val="000000"/>
        </w:rPr>
        <w:t>Hồ sơ cần mở</w:t>
      </w:r>
    </w:p>
    <w:p>
      <w:hyperlink r:id="rId9">
        <w:r>
          <w:rPr>
            <w:rFonts w:ascii="Arial" w:hAnsi="Arial"/>
            <w:sz w:val="22"/>
            <w:color w:val="1E5F99"/>
            <w:u w:val="single"/>
          </w:rPr>
          <w:t>Bộ Review 1 và slide</w:t>
        </w:r>
      </w:hyperlink>
    </w:p>
    <w:p>
      <w:hyperlink r:id="rId10">
        <w:r>
          <w:rPr>
            <w:rFonts w:ascii="Arial" w:hAnsi="Arial"/>
            <w:sz w:val="22"/>
            <w:color w:val="1E5F99"/>
            <w:u w:val="single"/>
          </w:rPr>
          <w:t>01 SRS</w:t>
        </w:r>
      </w:hyperlink>
    </w:p>
    <w:p>
      <w:hyperlink r:id="rId11">
        <w:r>
          <w:rPr>
            <w:rFonts w:ascii="Arial" w:hAnsi="Arial"/>
            <w:sz w:val="22"/>
            <w:color w:val="1E5F99"/>
            <w:u w:val="single"/>
          </w:rPr>
          <w:t>02 SecRS</w:t>
        </w:r>
      </w:hyperlink>
    </w:p>
    <w:p>
      <w:hyperlink r:id="rId12">
        <w:r>
          <w:rPr>
            <w:rFonts w:ascii="Arial" w:hAnsi="Arial"/>
            <w:sz w:val="22"/>
            <w:color w:val="1E5F99"/>
            <w:u w:val="single"/>
          </w:rPr>
          <w:t>03 SDD</w:t>
        </w:r>
      </w:hyperlink>
    </w:p>
    <w:p>
      <w:hyperlink r:id="rId13">
        <w:r>
          <w:rPr>
            <w:rFonts w:ascii="Arial" w:hAnsi="Arial"/>
            <w:sz w:val="22"/>
            <w:color w:val="1E5F99"/>
            <w:u w:val="single"/>
          </w:rPr>
          <w:t>08 Quản lý dự án</w:t>
        </w:r>
      </w:hyperlink>
    </w:p>
    <w:p>
      <w:hyperlink r:id="rId14">
        <w:r>
          <w:rPr>
            <w:rFonts w:ascii="Arial" w:hAnsi="Arial"/>
            <w:sz w:val="22"/>
            <w:color w:val="1E5F99"/>
            <w:u w:val="single"/>
          </w:rPr>
          <w:t>Sheet phân công</w:t>
        </w:r>
      </w:hyperlink>
    </w:p>
    <w:p>
      <w:pPr>
        <w:pStyle w:val="Heading1"/>
        <w:keepNext/>
      </w:pPr>
      <w:r>
        <w:rPr>
          <w:color w:val="000000"/>
        </w:rPr>
        <w:t>Thứ tự dẫn buổi review</w:t>
      </w:r>
    </w:p>
    <w:p>
      <w:r>
        <w:t>Đề xuất nội bộ: trình bày 7 slide trong khoảng 7 phút, sau đó dành thời gian cho GV góp ý. GV quyết định thời lượng thực tế. Khiêm mở đầu, điều phối câu hỏi và ghi action. Trí/Cường trả lời nghiệp vụ và thiết kế SE; Khánh trả lời quyền; Hoà trả lời log/rules; Nhi trả lời lab/file/TLS; Chính trả lời giao diện/Compose.</w:t>
      </w:r>
    </w:p>
    <w:p>
      <w:r>
        <w:t>Trước khi trình bày, kiểm tra đúng bộ v1.1 ngày 29-10-2026. Trình bày đây là thiết kế đề xuất và kế hoạch kiểm thử. Không nói đã chạy SEC-TC, đã có EV-HD-21…28 hoặc đã được GV duyệt khi chưa có kết quả/xác nhận.</w:t>
      </w:r>
    </w:p>
    <w:p>
      <w:r>
        <w:br w:type="page"/>
      </w:r>
    </w:p>
    <w:p>
      <w:pPr>
        <w:pStyle w:val="Heading1"/>
        <w:keepNext/>
      </w:pPr>
      <w:r>
        <w:rPr>
          <w:color w:val="000000"/>
        </w:rPr>
        <w:t>Lời dẫn theo slide</w:t>
      </w:r>
    </w:p>
    <w:p>
      <w:pPr>
        <w:pStyle w:val="Heading2"/>
        <w:keepNext/>
      </w:pPr>
      <w:r>
        <w:rPr>
          <w:color w:val="000000"/>
        </w:rPr>
        <w:t>Slide 1 Giới thiệu</w:t>
      </w:r>
    </w:p>
    <w:p>
      <w:r>
        <w:t>Em là Nguyễn Trọng Khiêm, đại diện phần tổng hợp IA của Group2. Nhóm trình bày đề tài P01 IT Helpdesk kết hợp kiểm soát truy cập và giám sát bảo mật. Mục tiêu hôm nay là xin ý kiến về phạm vi MVP, thiết kế SE–IA và các quyết định còn vướng trước khi chuyển sang triển khai. Hồ sơ hiện là v1.1 Draft, chưa phải bản scope đã được xác nhận.</w:t>
      </w:r>
    </w:p>
    <w:p>
      <w:pPr>
        <w:pStyle w:val="Heading2"/>
        <w:keepNext/>
      </w:pPr>
      <w:r>
        <w:rPr>
          <w:color w:val="000000"/>
        </w:rPr>
        <w:t>Slide 2 Phạm vi</w:t>
      </w:r>
    </w:p>
    <w:p>
      <w:r>
        <w:t>MVP gồm HD01 đến HD14: xác thực, quản lý ticket, phân công, xử lý, SLA, tìm kiếm và dashboard theo quyền. HD15 đánh giá hài lòng là Should, ngoài điều kiện hoàn tất MVP cốt lõi. Nhóm xin GV xác nhận phạm vi và mức ưu tiên. Điều khiển máy từ xa, agent endpoint, Active Directory và SOC ngoài lab nằm ngoài phạm vi đề xuất.</w:t>
      </w:r>
    </w:p>
    <w:p>
      <w:pPr>
        <w:pStyle w:val="Heading2"/>
        <w:keepNext/>
      </w:pPr>
      <w:r>
        <w:rPr>
          <w:color w:val="000000"/>
        </w:rPr>
        <w:t>Slide 3 Nghiệp vụ</w:t>
      </w:r>
    </w:p>
    <w:p>
      <w:r>
        <w:t>SRS có ba quy trình: tiếp nhận và xử lý ticket, theo dõi SLA, đóng hoặc yêu cầu mở lại. Theo UC-08, ticket giữ Resolved trong khi request PENDING chờ Manager duyệt. Các phần mô tả state Reopened và công thức SLA sau mở lại còn chưa hoàn toàn khớp. Nhóm đưa điểm này ra để SE chốt và đồng bộ hình BPMN, thay vì coi những mô tả khác nhau đều đã đúng.</w:t>
      </w:r>
    </w:p>
    <w:p>
      <w:pPr>
        <w:pStyle w:val="Heading2"/>
        <w:keepNext/>
      </w:pPr>
      <w:r>
        <w:rPr>
          <w:color w:val="000000"/>
        </w:rPr>
        <w:t>Slide 4 Kiến trúc</w:t>
      </w:r>
    </w:p>
    <w:p>
      <w:r>
        <w:t>Thiết kế dùng Nginx TLS, Spring Boot và PostgreSQL. Backend kiểm quyền trước khi truy cập DB hoặc kho file. Luồng audit là Backend ghi JSONL, Monitoring đọc để phát hiện/cảnh báo; Backend chịu trách nhiệm khóa đăng nhập. DFD v0.2 thể hiện TB1–TB3 theo ranh giới tin cậy logic. Nhi còn cung cấp sơ đồ triển khai và cấu hình thực tế, Hoà còn xác nhận công cụ và chính sách lưu log.</w:t>
      </w:r>
    </w:p>
    <w:p>
      <w:r>
        <w:br w:type="page"/>
      </w:r>
    </w:p>
    <w:p>
      <w:pPr>
        <w:pStyle w:val="Heading1"/>
        <w:keepNext/>
      </w:pPr>
      <w:r>
        <w:rPr>
          <w:color w:val="000000"/>
        </w:rPr>
        <w:t>Kiểm soát và các quyết định cần chốt</w:t>
      </w:r>
    </w:p>
    <w:p>
      <w:pPr>
        <w:pStyle w:val="Heading2"/>
        <w:keepNext/>
      </w:pPr>
      <w:r>
        <w:rPr>
          <w:color w:val="000000"/>
        </w:rPr>
        <w:t>Slide 5 Threat model và kiểm thử</w:t>
      </w:r>
    </w:p>
    <w:p>
      <w:r>
        <w:t>SecRS có 12 mối đe dọa, 7 mã yêu cầu IA-HD01 đến IA-HD07, 8 nhóm test và 12 dòng risk. Ví dụ, truy cập ticket của người khác liên kết TH-04, IA-HD02 và SEC-TC-HD-01. EV-HD-21 đến EV-HD-28 là mã evidence dự kiến cho khi kiểm thử, chưa phải kết quả hiện có. Nhóm giữ điểm risk sơ bộ và chưa tự chấm residual risk.</w:t>
      </w:r>
    </w:p>
    <w:p>
      <w:pPr>
        <w:pStyle w:val="Heading2"/>
        <w:keepNext/>
      </w:pPr>
      <w:r>
        <w:rPr>
          <w:color w:val="000000"/>
        </w:rPr>
        <w:t>Slide 6 Ma trận quyền</w:t>
      </w:r>
    </w:p>
    <w:p>
      <w:r>
        <w:t>Ma trận hiện tại phân biệt Employee own, Staff assigned cộng New chỉ xem, Manager toàn bộ và Admin chỉ đọc. Backend kiểm xác thực trước, rồi phạm vi ticket, quyền thao tác và trạng thái. Các điểm Manager đổi status, Admin tải byte, Staff chuyển trạng thái từ New và xử lý ghi chú nội bộ còn cần SE–Khánh thống nhất giữa SRS, API và matrix trước khi nghiệm thu.</w:t>
      </w:r>
    </w:p>
    <w:p>
      <w:pPr>
        <w:pStyle w:val="Heading2"/>
        <w:keepNext/>
      </w:pPr>
      <w:r>
        <w:rPr>
          <w:color w:val="000000"/>
        </w:rPr>
        <w:t>Slide 7 Xin ý kiến và phân công tiếp</w:t>
      </w:r>
    </w:p>
    <w:p>
      <w:r>
        <w:t>Nhóm xin GV góp ý phạm vi MVP và các quyết định ảnh hưởng thiết kế. Khiêm ghi rõ ý kiến, người phụ trách, hạn xử lý và link đầu ra vào 08. Các quyết định nội bộ cần đúng owner xác nhận: Trí/Cường/Khánh cho nghiệp vụ và quyền, Nhi/Backend cho file/deployment, Hoà cho log/tool/rules. Sau buổi review, nhóm cập nhật hồ sơ và chỉ chuyển Done khi đủ đầu ra và xác nhận.</w:t>
      </w:r>
    </w:p>
    <w:p>
      <w:r>
        <w:t>Khi có câu hỏi chưa đủ căn cứ: ghi vào action log, nêu người cần xác nhận và hẹn cập nhật theo thời hạn được thống nhất. Không tự đưa ra quyết định thay người phụ trách hoặc ghi lời phê duyệt của GV.</w:t>
      </w:r>
    </w:p>
    <w:p>
      <w:r>
        <w:br w:type="page"/>
      </w:r>
    </w:p>
    <w:p>
      <w:pPr>
        <w:pStyle w:val="Heading1"/>
        <w:keepNext/>
      </w:pPr>
      <w:r>
        <w:rPr>
          <w:color w:val="000000"/>
        </w:rPr>
        <w:t>Biên bản Review 1</w:t>
      </w:r>
    </w:p>
    <w:p>
      <w:r>
        <w:t>Ngày giờ và hình thức: Chờ ghi nhận trong buổi review.</w:t>
      </w:r>
    </w:p>
    <w:p>
      <w:r>
        <w:t>Thành phần thực tế: Chờ ghi nhận.</w:t>
      </w:r>
    </w:p>
    <w:p>
      <w:r>
        <w:t>Người chủ trì: Chờ xác nhận. Người ghi biên bản đề xuất: Nguyễn Trọng Khiêm.</w:t>
      </w:r>
    </w:p>
    <w:p>
      <w:r>
        <w:t xml:space="preserve">Link slide và bản hồ sơ đã trình: </w:t>
      </w:r>
      <w:hyperlink r:id="rId9">
        <w:r>
          <w:rPr>
            <w:rFonts w:ascii="Arial" w:hAnsi="Arial"/>
            <w:sz w:val="22"/>
            <w:color w:val="1E5F99"/>
            <w:u w:val="single"/>
          </w:rPr>
          <w:t>Bộ Review 1</w:t>
        </w:r>
      </w:hyperlink>
    </w:p>
    <w:p>
      <w:pPr>
        <w:pStyle w:val="Heading2"/>
        <w:keepNext/>
      </w:pPr>
      <w:r>
        <w:rPr>
          <w:color w:val="000000"/>
        </w:rPr>
        <w:t>Phản hồi và việc cần làm</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vAlign w:val="center"/>
          </w:tcPr>
          <w:p>
            <w:pPr>
              <w:keepNext w:val="0"/>
              <w:spacing w:before="0" w:after="60" w:line="252" w:lineRule="auto"/>
            </w:pPr>
            <w:r>
              <w:rPr>
                <w:rFonts w:ascii="Arial" w:hAnsi="Arial"/>
                <w:b/>
                <w:sz w:val="18"/>
              </w:rPr>
              <w:t>Vấn đề</w:t>
            </w:r>
          </w:p>
        </w:tc>
        <w:tc>
          <w:tcPr>
            <w:tcW w:type="dxa" w:w="2016"/>
            <w:vAlign w:val="center"/>
          </w:tcPr>
          <w:p>
            <w:pPr>
              <w:keepNext w:val="0"/>
              <w:spacing w:before="0" w:after="60" w:line="252" w:lineRule="auto"/>
            </w:pPr>
            <w:r>
              <w:rPr>
                <w:rFonts w:ascii="Arial" w:hAnsi="Arial"/>
                <w:b/>
                <w:sz w:val="18"/>
              </w:rPr>
              <w:t>Góp ý GV</w:t>
            </w:r>
          </w:p>
        </w:tc>
        <w:tc>
          <w:tcPr>
            <w:tcW w:type="dxa" w:w="2016"/>
            <w:vAlign w:val="center"/>
          </w:tcPr>
          <w:p>
            <w:pPr>
              <w:keepNext w:val="0"/>
              <w:spacing w:before="0" w:after="60" w:line="252" w:lineRule="auto"/>
            </w:pPr>
            <w:r>
              <w:rPr>
                <w:rFonts w:ascii="Arial" w:hAnsi="Arial"/>
                <w:b/>
                <w:sz w:val="18"/>
              </w:rPr>
              <w:t>Quyết định</w:t>
            </w:r>
          </w:p>
        </w:tc>
        <w:tc>
          <w:tcPr>
            <w:tcW w:type="dxa" w:w="2016"/>
            <w:vAlign w:val="center"/>
          </w:tcPr>
          <w:p>
            <w:pPr>
              <w:keepNext w:val="0"/>
              <w:spacing w:before="0" w:after="60" w:line="252" w:lineRule="auto"/>
            </w:pPr>
            <w:r>
              <w:rPr>
                <w:rFonts w:ascii="Arial" w:hAnsi="Arial"/>
                <w:b/>
                <w:sz w:val="18"/>
              </w:rPr>
              <w:t>Owner và hạn</w:t>
            </w:r>
          </w:p>
        </w:tc>
        <w:tc>
          <w:tcPr>
            <w:tcW w:type="dxa" w:w="2016"/>
            <w:vAlign w:val="center"/>
          </w:tcPr>
          <w:p>
            <w:pPr>
              <w:keepNext w:val="0"/>
              <w:spacing w:before="0" w:after="60" w:line="252" w:lineRule="auto"/>
            </w:pPr>
            <w:r>
              <w:rPr>
                <w:rFonts w:ascii="Arial" w:hAnsi="Arial"/>
                <w:b/>
                <w:sz w:val="18"/>
              </w:rPr>
              <w:t>Link / xác nhận</w:t>
            </w:r>
          </w:p>
        </w:tc>
      </w:tr>
      <w:tr>
        <w:tc>
          <w:tcPr>
            <w:tcW w:type="dxa" w:w="2016"/>
            <w:vAlign w:val="center"/>
          </w:tcPr>
          <w:p>
            <w:pPr>
              <w:keepNext w:val="0"/>
              <w:spacing w:before="0" w:after="60" w:line="252" w:lineRule="auto"/>
            </w:pPr>
            <w:r>
              <w:rPr>
                <w:rFonts w:ascii="Arial" w:hAnsi="Arial"/>
                <w:b w:val="0"/>
                <w:sz w:val="18"/>
              </w:rPr>
              <w:t>Phạm vi HD01–14 và HD15</w:t>
            </w:r>
          </w:p>
        </w:tc>
        <w:tc>
          <w:tcPr>
            <w:tcW w:type="dxa" w:w="2016"/>
            <w:vAlign w:val="center"/>
          </w:tcPr>
          <w:p>
            <w:pPr>
              <w:keepNext w:val="0"/>
              <w:spacing w:before="0" w:after="60" w:line="252" w:lineRule="auto"/>
            </w:pPr>
            <w:r>
              <w:rPr>
                <w:rFonts w:ascii="Arial" w:hAnsi="Arial"/>
                <w:b w:val="0"/>
                <w:sz w:val="18"/>
              </w:rPr>
              <w:t>Chờ ghi nhận</w:t>
            </w:r>
          </w:p>
        </w:tc>
        <w:tc>
          <w:tcPr>
            <w:tcW w:type="dxa" w:w="2016"/>
            <w:vAlign w:val="center"/>
          </w:tcPr>
          <w:p>
            <w:pPr>
              <w:keepNext w:val="0"/>
              <w:spacing w:before="0" w:after="60" w:line="252" w:lineRule="auto"/>
            </w:pPr>
            <w:r>
              <w:rPr>
                <w:rFonts w:ascii="Arial" w:hAnsi="Arial"/>
                <w:b w:val="0"/>
                <w:sz w:val="18"/>
              </w:rPr>
              <w:t>Chưa xác nhận</w:t>
            </w:r>
          </w:p>
        </w:tc>
        <w:tc>
          <w:tcPr>
            <w:tcW w:type="dxa" w:w="2016"/>
            <w:vAlign w:val="center"/>
          </w:tcPr>
          <w:p>
            <w:pPr>
              <w:keepNext w:val="0"/>
              <w:spacing w:before="0" w:after="60" w:line="252" w:lineRule="auto"/>
            </w:pPr>
            <w:r>
              <w:rPr>
                <w:rFonts w:ascii="Arial" w:hAnsi="Arial"/>
                <w:b w:val="0"/>
                <w:sz w:val="18"/>
              </w:rPr>
              <w:t>Chờ thống nhất</w:t>
            </w:r>
          </w:p>
        </w:tc>
        <w:tc>
          <w:tcPr>
            <w:tcW w:type="dxa" w:w="2016"/>
            <w:vAlign w:val="center"/>
          </w:tcPr>
          <w:p>
            <w:pPr>
              <w:keepNext w:val="0"/>
              <w:spacing w:before="0" w:after="60" w:line="252" w:lineRule="auto"/>
            </w:pPr>
            <w:r>
              <w:rPr>
                <w:rFonts w:ascii="Arial" w:hAnsi="Arial"/>
                <w:b w:val="0"/>
                <w:sz w:val="18"/>
              </w:rPr>
              <w:t>Chưa có</w:t>
            </w:r>
          </w:p>
        </w:tc>
      </w:tr>
      <w:tr>
        <w:tc>
          <w:tcPr>
            <w:tcW w:type="dxa" w:w="2016"/>
            <w:vAlign w:val="center"/>
          </w:tcPr>
          <w:p>
            <w:pPr>
              <w:keepNext w:val="0"/>
              <w:spacing w:before="0" w:after="60" w:line="252" w:lineRule="auto"/>
            </w:pPr>
            <w:r>
              <w:rPr>
                <w:rFonts w:ascii="Arial" w:hAnsi="Arial"/>
                <w:b w:val="0"/>
                <w:sz w:val="18"/>
              </w:rPr>
              <w:t>Workflow quyền và API</w:t>
            </w:r>
          </w:p>
        </w:tc>
        <w:tc>
          <w:tcPr>
            <w:tcW w:type="dxa" w:w="2016"/>
            <w:vAlign w:val="center"/>
          </w:tcPr>
          <w:p>
            <w:pPr>
              <w:keepNext w:val="0"/>
              <w:spacing w:before="0" w:after="60" w:line="252" w:lineRule="auto"/>
            </w:pPr>
            <w:r>
              <w:rPr>
                <w:rFonts w:ascii="Arial" w:hAnsi="Arial"/>
                <w:b w:val="0"/>
                <w:sz w:val="18"/>
              </w:rPr>
              <w:t>Chờ ghi nhận</w:t>
            </w:r>
          </w:p>
        </w:tc>
        <w:tc>
          <w:tcPr>
            <w:tcW w:type="dxa" w:w="2016"/>
            <w:vAlign w:val="center"/>
          </w:tcPr>
          <w:p>
            <w:pPr>
              <w:keepNext w:val="0"/>
              <w:spacing w:before="0" w:after="60" w:line="252" w:lineRule="auto"/>
            </w:pPr>
            <w:r>
              <w:rPr>
                <w:rFonts w:ascii="Arial" w:hAnsi="Arial"/>
                <w:b w:val="0"/>
                <w:sz w:val="18"/>
              </w:rPr>
              <w:t>Chưa xác nhận</w:t>
            </w:r>
          </w:p>
        </w:tc>
        <w:tc>
          <w:tcPr>
            <w:tcW w:type="dxa" w:w="2016"/>
            <w:vAlign w:val="center"/>
          </w:tcPr>
          <w:p>
            <w:pPr>
              <w:keepNext w:val="0"/>
              <w:spacing w:before="0" w:after="60" w:line="252" w:lineRule="auto"/>
            </w:pPr>
            <w:r>
              <w:rPr>
                <w:rFonts w:ascii="Arial" w:hAnsi="Arial"/>
                <w:b w:val="0"/>
                <w:sz w:val="18"/>
              </w:rPr>
              <w:t>Chờ thống nhất</w:t>
            </w:r>
          </w:p>
        </w:tc>
        <w:tc>
          <w:tcPr>
            <w:tcW w:type="dxa" w:w="2016"/>
            <w:vAlign w:val="center"/>
          </w:tcPr>
          <w:p>
            <w:pPr>
              <w:keepNext w:val="0"/>
              <w:spacing w:before="0" w:after="60" w:line="252" w:lineRule="auto"/>
            </w:pPr>
            <w:r>
              <w:rPr>
                <w:rFonts w:ascii="Arial" w:hAnsi="Arial"/>
                <w:b w:val="0"/>
                <w:sz w:val="18"/>
              </w:rPr>
              <w:t>Chưa có</w:t>
            </w:r>
          </w:p>
        </w:tc>
      </w:tr>
      <w:tr>
        <w:tc>
          <w:tcPr>
            <w:tcW w:type="dxa" w:w="2016"/>
            <w:vAlign w:val="center"/>
          </w:tcPr>
          <w:p>
            <w:pPr>
              <w:keepNext w:val="0"/>
              <w:spacing w:before="0" w:after="60" w:line="252" w:lineRule="auto"/>
            </w:pPr>
            <w:r>
              <w:rPr>
                <w:rFonts w:ascii="Arial" w:hAnsi="Arial"/>
                <w:b w:val="0"/>
                <w:sz w:val="18"/>
              </w:rPr>
              <w:t>File log và deployment</w:t>
            </w:r>
          </w:p>
        </w:tc>
        <w:tc>
          <w:tcPr>
            <w:tcW w:type="dxa" w:w="2016"/>
            <w:vAlign w:val="center"/>
          </w:tcPr>
          <w:p>
            <w:pPr>
              <w:keepNext w:val="0"/>
              <w:spacing w:before="0" w:after="60" w:line="252" w:lineRule="auto"/>
            </w:pPr>
            <w:r>
              <w:rPr>
                <w:rFonts w:ascii="Arial" w:hAnsi="Arial"/>
                <w:b w:val="0"/>
                <w:sz w:val="18"/>
              </w:rPr>
              <w:t>Chờ ghi nhận</w:t>
            </w:r>
          </w:p>
        </w:tc>
        <w:tc>
          <w:tcPr>
            <w:tcW w:type="dxa" w:w="2016"/>
            <w:vAlign w:val="center"/>
          </w:tcPr>
          <w:p>
            <w:pPr>
              <w:keepNext w:val="0"/>
              <w:spacing w:before="0" w:after="60" w:line="252" w:lineRule="auto"/>
            </w:pPr>
            <w:r>
              <w:rPr>
                <w:rFonts w:ascii="Arial" w:hAnsi="Arial"/>
                <w:b w:val="0"/>
                <w:sz w:val="18"/>
              </w:rPr>
              <w:t>Chưa xác nhận</w:t>
            </w:r>
          </w:p>
        </w:tc>
        <w:tc>
          <w:tcPr>
            <w:tcW w:type="dxa" w:w="2016"/>
            <w:vAlign w:val="center"/>
          </w:tcPr>
          <w:p>
            <w:pPr>
              <w:keepNext w:val="0"/>
              <w:spacing w:before="0" w:after="60" w:line="252" w:lineRule="auto"/>
            </w:pPr>
            <w:r>
              <w:rPr>
                <w:rFonts w:ascii="Arial" w:hAnsi="Arial"/>
                <w:b w:val="0"/>
                <w:sz w:val="18"/>
              </w:rPr>
              <w:t>Chờ thống nhất</w:t>
            </w:r>
          </w:p>
        </w:tc>
        <w:tc>
          <w:tcPr>
            <w:tcW w:type="dxa" w:w="2016"/>
            <w:vAlign w:val="center"/>
          </w:tcPr>
          <w:p>
            <w:pPr>
              <w:keepNext w:val="0"/>
              <w:spacing w:before="0" w:after="60" w:line="252" w:lineRule="auto"/>
            </w:pPr>
            <w:r>
              <w:rPr>
                <w:rFonts w:ascii="Arial" w:hAnsi="Arial"/>
                <w:b w:val="0"/>
                <w:sz w:val="18"/>
              </w:rPr>
              <w:t>Chưa có</w:t>
            </w:r>
          </w:p>
        </w:tc>
      </w:tr>
      <w:tr>
        <w:tc>
          <w:tcPr>
            <w:tcW w:type="dxa" w:w="2016"/>
            <w:vAlign w:val="center"/>
          </w:tcPr>
          <w:p>
            <w:pPr>
              <w:keepNext w:val="0"/>
              <w:spacing w:before="0" w:after="60" w:line="252" w:lineRule="auto"/>
            </w:pPr>
            <w:r>
              <w:rPr>
                <w:rFonts w:ascii="Arial" w:hAnsi="Arial"/>
                <w:b w:val="0"/>
                <w:sz w:val="18"/>
              </w:rPr>
              <w:t>Góp ý khác</w:t>
            </w:r>
          </w:p>
        </w:tc>
        <w:tc>
          <w:tcPr>
            <w:tcW w:type="dxa" w:w="2016"/>
            <w:vAlign w:val="center"/>
          </w:tcPr>
          <w:p>
            <w:pPr>
              <w:keepNext w:val="0"/>
              <w:spacing w:before="0" w:after="60" w:line="252" w:lineRule="auto"/>
            </w:pPr>
            <w:r>
              <w:rPr>
                <w:rFonts w:ascii="Arial" w:hAnsi="Arial"/>
                <w:b w:val="0"/>
                <w:sz w:val="18"/>
              </w:rPr>
              <w:t>Chờ ghi nhận</w:t>
            </w:r>
          </w:p>
        </w:tc>
        <w:tc>
          <w:tcPr>
            <w:tcW w:type="dxa" w:w="2016"/>
            <w:vAlign w:val="center"/>
          </w:tcPr>
          <w:p>
            <w:pPr>
              <w:keepNext w:val="0"/>
              <w:spacing w:before="0" w:after="60" w:line="252" w:lineRule="auto"/>
            </w:pPr>
            <w:r>
              <w:rPr>
                <w:rFonts w:ascii="Arial" w:hAnsi="Arial"/>
                <w:b w:val="0"/>
                <w:sz w:val="18"/>
              </w:rPr>
              <w:t>Chưa xác nhận</w:t>
            </w:r>
          </w:p>
        </w:tc>
        <w:tc>
          <w:tcPr>
            <w:tcW w:type="dxa" w:w="2016"/>
            <w:vAlign w:val="center"/>
          </w:tcPr>
          <w:p>
            <w:pPr>
              <w:keepNext w:val="0"/>
              <w:spacing w:before="0" w:after="60" w:line="252" w:lineRule="auto"/>
            </w:pPr>
            <w:r>
              <w:rPr>
                <w:rFonts w:ascii="Arial" w:hAnsi="Arial"/>
                <w:b w:val="0"/>
                <w:sz w:val="18"/>
              </w:rPr>
              <w:t>Chờ thống nhất</w:t>
            </w:r>
          </w:p>
        </w:tc>
        <w:tc>
          <w:tcPr>
            <w:tcW w:type="dxa" w:w="2016"/>
            <w:vAlign w:val="center"/>
          </w:tcPr>
          <w:p>
            <w:pPr>
              <w:keepNext w:val="0"/>
              <w:spacing w:before="0" w:after="60" w:line="252" w:lineRule="auto"/>
            </w:pPr>
            <w:r>
              <w:rPr>
                <w:rFonts w:ascii="Arial" w:hAnsi="Arial"/>
                <w:b w:val="0"/>
                <w:sz w:val="18"/>
              </w:rPr>
              <w:t>Chưa có</w:t>
            </w:r>
          </w:p>
        </w:tc>
      </w:tr>
    </w:tbl>
    <w:p>
      <w:pPr>
        <w:pStyle w:val="Heading2"/>
        <w:keepNext/>
      </w:pPr>
      <w:r>
        <w:rPr>
          <w:color w:val="000000"/>
        </w:rPr>
        <w:t>Kết luận về phạm vi</w:t>
      </w:r>
    </w:p>
    <w:p>
      <w:r>
        <w:t>Phạm vi GV xác nhận: Chờ ghi nhận. Nội dung ngoài phạm vi được xác nhận: Chờ ghi nhận. Các điều kiện trước khi chốt baseline: Chờ ghi nhận. Người xác nhận và thời điểm: Chưa có.</w:t>
      </w:r>
    </w:p>
    <w:p>
      <w:r>
        <w:t>Sau buổi review, sao chép phản hồi thực tế vào 08 §5, tạo action/owner/hạn tại §4 và Sheet, cập nhật phiên bản 01–02–03 theo thay đổi đã thống nhất. Giữ lại bản đã trình làm mốc đối chiếu.</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rive.google.com/drive/folders/1o5670jSSJyzpq_LQEqLiZiqBLDQ1X5at" TargetMode="External"/><Relationship Id="rId10" Type="http://schemas.openxmlformats.org/officeDocument/2006/relationships/hyperlink" Target="https://docs.google.com/document/d/1iGDgs5MjEbOUycZbdVMG-zL4vRov60f5/edit" TargetMode="External"/><Relationship Id="rId11" Type="http://schemas.openxmlformats.org/officeDocument/2006/relationships/hyperlink" Target="https://docs.google.com/document/d/178ulBVk9rQASXX3_5tPjoc1DTZG4iGUeREI69dD-xMw/edit" TargetMode="External"/><Relationship Id="rId12" Type="http://schemas.openxmlformats.org/officeDocument/2006/relationships/hyperlink" Target="https://docs.google.com/document/d/1Wj4q4_IUBI4LX74SAq-ScLbN66R9EYP68d5IKZJEBuY/edit" TargetMode="External"/><Relationship Id="rId13" Type="http://schemas.openxmlformats.org/officeDocument/2006/relationships/hyperlink" Target="https://docs.google.com/document/d/1tYsp1Omfkrt7lsZ0VuTwTnsHArhhEbWn/edit" TargetMode="External"/><Relationship Id="rId14" Type="http://schemas.openxmlformats.org/officeDocument/2006/relationships/hyperlink" Target="https://docs.google.com/spreadsheets/d/18NX_o1GiopEFlLNYtmjXm7pl4dlEY1cn7u21AKC8k7U/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